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AARP/84/2024 vom 1. März 2024</w:t>
      </w:r>
    </w:p>
    <w:p>
      <w:r>
        <w:t>GE Cour de justice, 2024-03-01, FR</w:t>
      </w:r>
    </w:p>
    <w:p>
      <w:r>
        <w:rPr>
          <w:b/>
        </w:rPr>
        <w:t xml:space="preserve">Quelle: </w:t>
      </w:r>
      <w:r>
        <w:t>https://mcp.opencaselaw.ch/entscheid/ge_gerichte_AARP_84_2024</w:t>
      </w:r>
    </w:p>
    <w:p>
      <w:r>
        <w:t>FR: GE_GERICHTE AARP/84/2024 du 1 mars 2024</w:t>
      </w:r>
    </w:p>
    <w:p>
      <w:r>
        <w:t>IT: GE_GERICHTE AARP/84/2024 del 1 marzo 2024</w:t>
      </w:r>
    </w:p>
    <w:p>
      <w:pPr>
        <w:pStyle w:val="Heading2"/>
      </w:pPr>
      <w:r>
        <w:t>Erwägungen</w:t>
      </w:r>
    </w:p>
    <w:p>
      <w:r>
        <w:rPr>
          <w:b/>
        </w:rPr>
        <w:t>E. 21</w:t>
      </w:r>
    </w:p>
    <w:p>
      <w:r>
        <w:t>décembre 2022. Il était en pleurs à l'évocation de ces faits et était choqué par sa condamnation. Il présentait un état dépressif modéré. f.d. Selon le psychiatre qui suivait A______ depuis le mois d'avril 2023, le patient présentait un état anxio-dépressif d'intensité moyenne à sévère lié à l'injustice vécue concernant des accusations de violences conjugales. C. a. Aux débats d'appel, A______ persiste dans ses conclusions.</w:t>
      </w:r>
    </w:p>
    <w:p>
      <w:r>
        <w:t>Il regrettait d'avoir giflé son épouse en décembre 2017. S'agissant de l'état de santé psychique de celle-ci, il avait seulement noté une fatigue. Il avait peut-être eu tort de refuser de s'exprimer sur les faits survenus en France, qui n'étaient pas pertinents car très anciens. Il a présenté ses excuses les plus profondes pour les messages insultants qu'il lui avait adressés.</w:t>
      </w:r>
    </w:p>
    <w:p>
      <w:r>
        <w:t>Par la voix de son conseil, il souligne que l'intimée n'avait évoqué les menaces et les injures qu'à partir de janvier 2019, soit bien après leur séparation, survenue en décembre 2017. Ce n'était que le 10 avril 2019, que la plaignante avait enfin parlé de l'épisode d'octobre 2017, ne cessant d'évoluer sur l'origine de leur dispute et ne parvenant pas à se remémorer le contexte de son retour au domicile. Elle avait également tardé à remettre le certificat médical y relatif et avait produit, le jour de l'audience de jugement, une attestation rédigée par sa supérieure de l'époque sur des faits qui remontaient à plus de sept ans, dont la crédibilité était pourtant discutable. A l'inverse, il s'était montré constant, rejetant toutes les accusations, hormis la gifle, geste qu'il regrettait. Son état psychique reflétait son sentiment d'injustice.</w:t>
      </w:r>
    </w:p>
    <w:p>
      <w:r>
        <w:t>- 8/19 - P/1680/2019</w:t>
      </w:r>
    </w:p>
    <w:p>
      <w:r>
        <w:t>b. C______, absente aux débats d'appel et représentée par son conseil, conclut au rejet de l'appel et à la confirmation du jugement. Elle avait attendu longtemps avant de porter plainte car elle pensait oublier les violences mais il avait continué à la tourmenter après leur séparation. Son discours avait été cohérent et constant, sans aucune exagération. Ses quelques variations s'expliquaient par plus de 23 ans de violences répétées. Alors que la procédure d'appel la replongeait dans de lourdes souffrances, le prévenu continuait de nier l'évidence, allant jusqu'à prendre la place de la victime.</w:t>
      </w:r>
    </w:p>
    <w:p>
      <w:r>
        <w:t>c. Le MP conclut au rejet de l'appel et à la confirmation du jugement. D. A______ est né le ______ 1968, de nationalité française et titulaire d'un permis C. Il travaille comme chauffeur pour L______ et perçoit à ce titre un salaire mensuel net de CHF 6'900.-, allocation familiale non comprise. Son loyer mensuel s'élève à CHF 2'060.-. Il dit avoir de nombreuses dettes, dont un crédit immobilier, un crédit à la consommation et des poursuites. Il n'a pas d'antécédent judiciaire. E. Le défenseur d'office de A______ dépose un état de frais pour la procédure d'appel, facturant, sous des libellés divers, 10h30 d'activité de chef d'étude (soit 6h30 jusqu'au 31 décembre 2023 et 4h00 à partir du 1er janvier 2024), hors débats d'appel, lesquels ont duré 1h30, dont 2h30 pour l'étude du jugement motivé, ainsi que pour la rédaction de la déclaration d'appel et d'un courrier motivé à la CPAR, activités fournies en 2023. Il a été indemnisé à hauteur de 21h55 d'activité en première instance. La conseil juridique gratuite de C______ jusqu'au 6 février 2024, représentée à l'audience par un confrère, dépose un état de frais pour la procédure d'appel, facturant, sous des libellés divers, 4h45 d'activité de chefs d'étude, hors débats d'appel. EN DROIT : 1. 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- 9/19 - P/1680/2019 2. 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2.1.2.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JdT 2012 IV ; arrêt du Tribunal fédéral 6B_1306/2017 du 17 mai 2018 consid. 2.1.1 ; M. NIGGLI / M. HEER / H. WIPRÄCHTIGER [éds], Strafprozessordnung / Jugendstrafprozessordnung, Basler Kommentar StPO/JStPO, 2ème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2.1.3.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(arrêt du Tribunal fédéral 6B_38/2021 du 14 février 2022 consid. 3.3). 2.2. À teneur de l'art. 123 ch. 1 CP, quiconque, intentionnellement, fait subir à une personne une autre atteinte à l’intégrité corporelle ou à la santé est puni sur plainte d’une peine privative de liberté de trois ans au plus ou d’une peine pécuniaire.</w:t>
      </w:r>
    </w:p>
    <w:p>
      <w:r>
        <w:t>- 10/19 - P/1680/2019 2.2.1.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2.1.1). À titre d'exemples, la jurisprudence cite l'administration d'injections, la tonsure totale et tout acte qui provoque un état maladif, l'aggrave ou en retarde la guérison, comme les blessures, les meurtrissures, les écorchures ou les griffures provoquées par des coups, des heurts ou d'autres causes du même genre, sauf si ces lésions n'ont pas d'autres conséquences qu'un trouble passager et sans importance du sentiment de bien-être (ATF 134 IV 189 consid. 1.1 ; 107 IV 40 consid. 5c ; 103 IV 65 consid. 2c). Un coup de poing dans la figure ayant provoqué un hématome doit être sanctionné en application de l'art. 123 CP, parce qu'un hématome est la conséquence de la rupture d'un vaisseau sanguin, dommage qui est une lésion du corps humain, même si celle- ci est superficielle et de peu d'importance (ATF 119 IV 25 consid. 2a). 2.2.2. L'auteur est poursuivi d'office s'il est le conjoint de la victime et que l'atteinte est commise durant le mariage (art. 123 ch. 2 al. 4 CP). Cette poursuite d'office trouve sa justification dans le fait que par trop souvent les victimes de violences conjugales ne déposent pas de plainte pénale ou la retirent par peur de subir de nouveaux assauts, par culpabilité ou honte, pour des motifs de dépendance sociale, émotionnelle et économique, ou encore par espoir (Révision de l'art. 123 CP, rapport de la Commission des affaires juridiques du Conseil national, FF 2003 1750, 1753). Les victimes de violences conjugales hésitent souvent à dénoncer ces violences ou à porter plainte, un élément qui est à la fois une conséquence de la vulnérabilité particulière de victimes de violences domestiques et une (potentielle) source de vulnérabilités additionnelles. Cette réticence a été expliquée par les effets psychologiques des violences domestiques, résultant régulièrement en une perte d’autonomie et d’estime de soi ou un sentiment de honte, qui est renforcé par des attitudes sociétales tendant à banaliser ce type de violences (N. ZIMMERMANN, La notion de vulnérabilité dans la jurisprudence de la Cour européenne des droits de l'homme : contours et utilité d'un concept en vogue, Genève 2022, § 808 p. 461). Suivant une étude (M. KILLIAS / M. SIMONIN / J. DE PUY, Violence experienced by women in Switzerland over their lifespan, Berne 2005, p. 83 ss), moins d'un tiers des femmes victimes de violences de la part de leur partenaire s'adressent à la police, un quart s'en ouvrant à leur médecin. Une telle passivité peut s'expliquer, entre autres motifs, par la peur de représailles, la honte, la culpabilité, le manque d'estime de soi, l'espoir d'une amélioration, la crainte de se heurter à l'incrédulité ou à la banalisation, etc. (arrêt du Tribunal fédéral 1P_24/2005 du 31 mars 2005 consid. 3.1 ; C. MEYER,</w:t>
      </w:r>
    </w:p>
    <w:p>
      <w:r>
        <w:t>- 11/19 - P/1680/2019 Limites de l'aide aux femmes victimes de violences conjugales ou de traite, in : Aide aux victimes en Suisse, Berne 2004, p. 63 ss). 2.3. En l'espèce, les versions des parties s'opposent diamétralement, si bien qu'il convient d'apprécier et confronter la crédibilité des dires de chacune. 2.3.1. Les explications de l'intimée paraissent en elles-mêmes crédibles. Elle s'est montrée claire et constante devant les autorités pénales, ne variant ou n'omettant que des détails périphériques, tels que l'origine de la dispute avec son époux, s'il était présent au domicile à son retour ou encore à quel endroit se trouvait leur fils G______. Ces contradictions et lacunes s'expliquent aisément par la brièveté et l'ancienneté des faits, mais également par leur récurrence durant toute la durée de leur mariage, l'appelant admettant certaines violences physiques et verbales. Cela renseigne également sur les raisons qui ont poussé la plaignante à ne pas mentionner cet épisode dans sa plainte du 28 janvier 2019 et sur sa méprise de date, l'intéressée ayant été vraisemblablement encore bouleversée par les violences subies et focalisée sur les récentes menaces et insultes décrites dans son courrier. A la mise en cause constante de l'appelant s'ajoute la mesure des propos de l'intimée, puisqu'elle n'a pas cherché à accabler son époux en indiquant un chiffre exagérément élevé quant au nombre de violences subies pendant leur union et a admis l'avoir également insulté à une reprise. Elle n'a porté plainte que plusieurs mois après leur séparation et a également demandé à être dispensée de comparaître à l'audience d'appel, attitude qui concorde mal avec le mobile avancé par le prévenu, à savoir que la procédure pénale servirait celle en divorce, antérieure. S'agissant du fait qu'elle a attendu longtemps avant de se confier et de déposer plainte pénale, on relèvera que cela correspond à un phénomène courant chez les victimes de violences conjugales (voir supra ch. 2.2.2) et ne saurait remettre en cause la crédibilité générale de leurs déclarations. La plaignante a en effet exposé de manière cohérente et constante qu'elle s'était abstenue par espoir, mais avant tout par isolement, crainte des représailles et honte, une de ses psychologues ayant d'ailleurs noté une perte de confiance et une forte baisse de son estime personnelle. Ces réticences, ainsi que la peur de perdre son emploi expliquent encore les raisons pour lesquelles, à l'époque, elle avait choisi de dissimiler l'origine réelle de sa blessure à l'arcade sourcilière, ce qui est attesté par son ancienne supérieure. Enfin, le dossier médical de l'intimée, qui a entamé un suivi dès le départ de son époux du domicile conjugal, révèle un état de terreur (avec des mécanismes de reviviscence et de dissociation), une anxiété sociale (peur des hommes), des troubles du sommeil, une hyperactivité, de la fatigue et, plus généralement, un état dépressif et de stress post-traumatique, parfaitement compatibles et au demeurant usuels dans</w:t>
      </w:r>
    </w:p>
    <w:p>
      <w:r>
        <w:t>- 12/19 - P/1680/2019 ce type d'affaires. Ses différents thérapeutes ont d'ailleurs mis en lien cet état avec les violences relatées. Il résulte de l'analyse qui précède que l'intimée jouit d'une très forte crédibilité, nonobstant les quelques incohérences précédemment relevées. 2.3.2. Dans la mesure ou l'appelant nie globalement les faits, sa propre crédibilité est plus difficile à déterminer. Plusieurs éléments interpellent, au premier rang desquels figurent ses dénégations initiales au sujet d'éventuelles violences physiques et verbales sur son épouse, qu'il a fini par admettre en appel seulement, alors même qu'il avait été confronté aux preuves matérielles. Par ailleurs, si ces faits ne font pas l'objet de la présente procédure, ils mettent en lumière un contexte de violences conjugales exercées, à tout le moins, durant 18 ans par le prévenu et renforcent encore la crédibilité des propos de la victime, contrairement à ceux de l'appelant, qui ne reflètent qu'une adaptation aux éléments du dossier. En outre, il a varié sur les circonstances de la blessure de son épouse, indiquant d'abord que celle-ci lui avait relaté s'être cogné la tête contre une porte au travail, déclaration qui ressemble étrangement à celle faite pour justifier les faits ayant conduit à l'hospitalisation de la plaignante en 2000 et à sa condamnation, puis en sortant de l'immeuble. C'est le lieu de souligner que son emploi du temps le jour de l'accident ne corrobore ni ne remet en cause ses déclarations. Outre le fait que son épouse l'aurait accusé à tort pour asseoir la procédure de divorce, restant néanmoins muet sur les conséquences de la procédure pénale dans le cadre de l'action civile, il n'a donné aucune explication crédible au fait que la partie plaignante l'aurait faussement accusé, tout comme s'agissant de l'état de santé psychique de cette dernière, qu'il a seulement décrite comme "fatiguée". Enfin, si la Cour ne remet pas en cause sa dépression attestée par ses thérapeutes, il n'est pas impossible qu'elle soit en lien avec les conséquences de ses propres agissements, qui ont conduit à la présente procédure. A tout le moins, cela n'établit nullement son innocence, ni même ne la crédibilise. En définitive, la crédibilité de l'appelant est mauvaise et ne saurait l'emporter sur celle de la victime, vu l'examen qui précède. 2.3.3. En conclusion, il est retenu que les faits reprochés par l'intimée, tels que résumés dans l'acte d'accusation, sont établis.</w:t>
      </w:r>
    </w:p>
    <w:p>
      <w:r>
        <w:t>- 13/19 - P/1680/2019 2.3.4. A raison, l'appelant ne conteste pas la qualification juridique retenue de lésions corporelles simples. Il ne fait en effet nul doute que le fait de pousser intentionnellement contre la porte la tête de la victime, laquelle a été blessée à l'arcade sourcilière avec un hématome à l'œil, comme cela ressort du résumé de consultation du 11 octobre 2017 et de la déclaration d'accident du lendemain, mais également des déclarations du prévenu lui- même, est constitutif de lésions corporelles simples (art. 123 ch. 1 et 2 al. 4 CP), de sorte que l'appel sera rejeté sur ce point et le jugement confirmé. 3. 3.1. Les faits reprochés à l'appelant sont antérieurs à l'entrée en vigueur du nouveau droit des sanctions. Dans la mesure où les principes régissant la fixation de la peine postulent le prononcé d'une peine pécuniaire, la peine sera fixée selon le nouveau droit, qui lui est plus favorable (art. 2 al. 2 CP), vu que le quantum de la peine menace est de 180 jours-amende (art. 34 al. 1 CP) et non plus de 360 jours-amende (arrêt du Tribunal fédéral 6B_712/2018 du 18 décembre 2019 consid. 3.1).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3.2.2. La peine pécuniaire ne peut excéder 180 jours-amende, le juge fixant leur nombre en fonction de la culpabilité de l'auteur (art. 34 al. 1 CP). Un jour-amende est de CHF 30.- au moins et de CHF 3'000.- au plus (al. 2). 3.3. En l'espèce, la faute de l'appelant n'est pas négligeable. Il s'en est pris à l'intégrité corporelle de son épouse. Ses mobiles sont inconnus, puisqu'il les tait. Son action</w:t>
      </w:r>
    </w:p>
    <w:p>
      <w:r>
        <w:t>- 14/19 - P/1680/2019 semble découler de son impulsivité et de son désir d'imposer, par la violence et la peur, sa volonté. Il continue de nier être l'auteur des faits reprochés, n'hésitant pas à jeter l'opprobre sur la plaignante pour tenter de convaincre, sans succès, des motivations de cette dernière à l'accuser à tort et à se positionner lui-même en victime. Il n'y a ainsi aucune prise de conscience. Son absence d'antécédents est un facteur neutre dans la fixation de la peine. Sa responsabilité pénale est entière. Aucune circonstance atténuante n'est réalisée, ni plaidée. L'appelant ne saurait être mis au bénéfice de l'art. 48 let. e CP malgré l'ancienneté des faits, dans la mesure où il ne peut être retenu qu'il "s'est bien comporté dans l'intervalle", ayant admis une gifle en 2017 et des insultes en 2018 à l'égard de son épouse, ces comportements incorrects étant suffisants pour exclure l'application de cette circonstance atténuante (ATF 132 IV 1 consid. 6.3 ; arrêt du Tribunal fédéral 6S.117/2000 du 11 mai 2000 consid. 1.c). Sa situation personnelle ne justifie en aucun cas ses actes. L'appelant ne conteste pas, à juste titre, au-delà de l'acquittement plaidé, la quotité de la peine pécuniaire de 50 jours-amende, qui sanctionne adéquatement l'infraction de lésions corporelles simples et sera, partant, confirmée. Il en ira de même du montant du jour-amende, fixé à CHF 90.- par le premier juge. Le sursis prononcé est acquis à l'appelant (art. 42 al. 1 CP et 391 al. 2 CPP). Le délai d'épreuve, arrêté à trois ans, n'est pas critiquable. L'appel est partant rejeté et le jugement confirmé. 4. 4.1.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en particulier en réparation de son tort moral (art. 47 du code des obligations [CO]) ou en réparation de son dommage matériel (art. 41 CO).</w:t>
      </w:r>
    </w:p>
    <w:p>
      <w:r>
        <w:t>- 15/19 - P/1680/2019 4.2. Vu le verdict de culpabilité de l'appelant, d'une part, et compte tenu du fait que celui-ci n'a pas formulé de grief particulier, au-delà de l'acquittement plaidé, en lien avec les conclusions civiles, d'autre part, le tort moral en CHF 2'000.-, qui apparaît adéquat et proportionné à la gravité de la lésion corporelle et de la souffrance subies, sera confirmé, tout comme le dommage matériel en CHF 1'292.40. 5. 5.1. L'appelant, qui succombe, supportera les frais de la procédure envers l'État (art. 428 CPP), qui comportent un émolument de décision de CHF 2'000.-. Compte tenu de l'issue de l'appel, il n'y a pas lieu de revoir la répartition des frais de la procédure préliminaire et de première instance (art. 427 al. 2 et 428 al. 3 a contrario CPP). 6. Etant donné sa condamnation, les conclusions en indemnisation de l'appelant seront rejetées (art. 429 al. 1 let. c CPP a contrario). 7. 7.1.1.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de CHF 200.- pour un chef d'étude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w:t>
      </w:r>
    </w:p>
    <w:p>
      <w:r>
        <w:t>- 16/19 - P/1680/2019 indemnisation supplémentaire (AARP/295/2015 du 12 juillet 2015 consid. 8.2.2.3, 8.2.2.6, 8.3.1.1 et 8.3.2.1).</w:t>
      </w:r>
    </w:p>
    <w:p>
      <w:r>
        <w:t>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7.1.3.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Ministère public est arrêtée à CHF 100.- pour les chefs d'étude, dite rémunération étant allouée d'office par la juridiction d'appel pour les débats devant elle. 7.2.1. À l'aune de ces principes, il convient de retrancher de l'état de frais du défenseur d'office de l'appelant, le temps consacré à l'étude du jugement motivé, ainsi qu'à la rédaction de la déclaration d'appel et d'un courrier motivé à la CPAR (2h30 au total), activités couvertes par le forfait. Pour le surplus, les heures consacrées à la durée de et au déplacement à l'audience d'appel seront ajoutées.</w:t>
      </w:r>
    </w:p>
    <w:p>
      <w:r>
        <w:t>La rémunération de Me B______ sera partant arrêtée à CHF 2'363.90 (CHF 947.80 + CHF 1'416.10) correspondant à 4h00 d'activité en 2023 au tarif de CHF 200.-/heure (CHF 800.-) plus la majoration forfaitaire de 10% (CHF 80.-) et l'équivalent de la TVA au taux de 7.7% en CHF 67.80, ainsi que 5h30 d'activité en 2024 au tarif de CHF 200.-/heure (CHF 1'100.-) plus la majoration forfaitaire de 10% (CHF 110.-), un déplacement à CHF 100.- et l'équivalent de la TVA au taux de 8.1% en CHF 106.10.</w:t>
      </w:r>
    </w:p>
    <w:p>
      <w:r>
        <w:t>7.2.2. Considéré globalement, l'état de frais produit par Me M______, précédente conseil juridique gratuite de C______, satisfait les exigences légales et jurisprudentielles rappelées ci-dessus. Il convient cependant de le compléter du temps et déplacement afférents à l'audience d'appel. Sa rémunération sera partant arrêtée à CHF 1'729.60 correspondant à 6h15 d'activité en 2024 au tarif de CHF 200.‑/heure (CHF 1'250.-), plus la majoration forfaitaire de 20% (CHF 250.-), un déplacement à CHF 100.- et l'équivalent de la TVA au taux de 8.1% en CHF 129.60. * * * * *</w:t>
      </w:r>
    </w:p>
    <w:p>
      <w:r>
        <w:t>- 17/19 - P/1680/2019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