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AARP/84/2023 vom 10. März 2023</w:t>
      </w:r>
    </w:p>
    <w:p>
      <w:r>
        <w:t>GE Cour de justice, 2023-03-10, FR</w:t>
      </w:r>
    </w:p>
    <w:p>
      <w:r>
        <w:rPr>
          <w:b/>
        </w:rPr>
        <w:t xml:space="preserve">Quelle: </w:t>
      </w:r>
      <w:r>
        <w:t>https://mcp.opencaselaw.ch/entscheid/ge_gerichte_AARP_84_2023</w:t>
      </w:r>
    </w:p>
    <w:p>
      <w:r>
        <w:t>FR: GE_GERICHTE AARP/84/2023 du 10 mars 2023</w:t>
      </w:r>
    </w:p>
    <w:p>
      <w:r>
        <w:t>IT: GE_GERICHTE AARP/84/2023 del 10 marzo 2023</w:t>
      </w:r>
    </w:p>
    <w:p>
      <w:pPr>
        <w:pStyle w:val="Heading2"/>
      </w:pPr>
      <w:r>
        <w:t>Erwägungen</w:t>
      </w:r>
    </w:p>
    <w:p>
      <w:r>
        <w:rPr>
          <w:b/>
        </w:rPr>
        <w:t>E. 4.1</w:t>
      </w:r>
    </w:p>
    <w:p>
      <w:r>
        <w:t>Outre la contravention retenue à l'art. 90 al. 1 LCR, dont la peine n'est plus contestée, l'appelant s'est rendu coupable de lésions corporelles par négligence (art. 125 al. 1 CP), infraction passible d'une peine privative de liberté de trois ans au plus ou d'une peine pécuniaire.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w:t>
      </w:r>
    </w:p>
    <w:p>
      <w:r>
        <w:t>- 17/22 - P/16607/2019 en tenant compte de son revenu et de sa fortune, de son mode de vie, de ses obligations d'assistance, en particulier familiales, et du minimum vital (al. 2). Le juge dispose d'un large pouvoir d'appréciation lui permettant de procéder à une estimation du montant du jour-amende en fonction des informations dont il dispose (arrêts du Tribunal fédéral 6B_133/2018 du 27 juillet 2018 consid. 3.1 ; 6B_568/2012 du 16 novembre 2012 consid. 2.1). 4.2.3.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4.2.4. Aux termes de l'art. 42 al. 1 CP, le juge suspend en règle générale l'exécution d'une peine pécuniaire ou d'une peine privative de liberté de deux ans au plus lorsqu'une peine ferme ne paraît pas nécessaire pour détourner l'auteur d'autres crimes ou délits. 4.2.5. Si le juge suspend totalement l'exécution d'une peine, il impartit au condamné un délai d'épreuve de deux à cinq ans (art. 44 al. 1 CP). 4.2.6. 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t>- 18/22 - P/16607/2019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 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 et les références citées). 4.2.7.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4.3.1. La faute commise par l'appelant relève d'une infraction par négligence, mais le manquement de l'intéressé à ses devoirs a été grave, sachant qu'il a notamment violé une règle élémentaire de la circulation routière en ne respectant pas le feu de circulation le concernant, alors en phase rouge, qui plus est à un carrefour dangereux et en travaux, dans le but vraisemblablement de gagner du temps dans le trafic. Les conséquences ont été importantes pour la victime qui a été grièvement blessée. Le prévenu persiste en outre à nier toute culpabilité et tente vainement de rejeter l'entière responsabilité de l'accident sur le cyclomotoriste. Confronté aux témoins, il a essayé de les décrédibiliser, alors même qu'ils ont été constants et pertinents dans leurs déclarations. Sa prise de conscience n'est dès lors pas entamée. Il a toutefois assisté l'intimé après l'accident et a cherché à s'enquérir de sa santé, en lui montrant de l'empathie. Sa situation personnelle est sans lien avec les faits. Ses antécédents, non spécifiques ou relativement anciens, ne sont pas pertinents. Non contesté, le type de peine sera confirmé ; sa quotité de 80 unités est tout à fait adéquate au regard de la gravité de la faute et des autres éléments précités. À cet effet, il sera rappelé que la faute dont l'appelant croit pouvoir faire grief au plaignant ne l'exonère pas de ses propres manquements, de sorte qu'elle n'a pas d'influence sur la fixation de sa peine, sachant qu'il n'existe pas de compensation des fautes en droit pénal (ATF 122 IV 17 consid. 2c/bb p. 24). L'imputation sur la peine de la durée de la détention avant jugement de deux jours, ainsi que, dans une juste proportion, celle des mesures de substitution à hauteur de 35 jours, équivalent à 15% de 231 jours, n'est ni critiquée ni critiquable et sera</w:t>
      </w:r>
    </w:p>
    <w:p>
      <w:r>
        <w:t>- 19/22 - P/16607/2019 partant confirmée, vu leur respect partiel et le fait qu'elles ont entravé l'appelant dans une mesure largement inférieure à la prison. L'appelant ne conteste pas, au-delà de l'acquittement, le montant du jour amende de CHF 160.-, lequel consacre une application correcte des critères de l'art. 34 CP, soit correspondant à sa situation personnelle et financière présumée, étant souligné que l'appelant a admis que son épouse réglait tous les frais du ménage et qu'il n'a fourni aucun document précis à cet égard, alors qu'il apparaît jouir d'un train de vie confortable. Il en va de même de l'amende, à titre de sanction immédiate, à hauteur de CHF 2'560.-, laquelle entre dans la fourchette des 20% de la peine principale et s'avère justifiée, compte tenu de sa faute et de sa prise de conscience relative de ses agissements, tout comme les 16 jours de peine privative de liberté de substitution. L'octroi du sursis pour la peine pécuniaire et la durée du délai d'épreuve de trois ans, non contestés en appel, au-delà de son acquittement, sont acquis à l'appelant (art. 391 al. 2 CPP). 4.3.2. La peine prononcée en première instance sera par conséquent confirmée, en sus de l'amende de CHF 1'000.- et de la peine privative de liberté de substitution de dix jours, points non contestés en appel.</w:t>
      </w:r>
    </w:p>
    <w:p>
      <w:r>
        <w:rPr>
          <w:b/>
        </w:rPr>
        <w:t>E. 5.1</w:t>
      </w:r>
    </w:p>
    <w:p>
      <w:r>
        <w:t>L'appelant, qui succombe, supportera les frais de la procédure envers l'État (art. 428 CPP), dont les frais de la procédure d'appel comprendront un émolument de décision de CHF 1'800.- (art. 428 al. 1 CPP ; art. 14 al. 1 let. e du règlement fixant le tarif des frais en matière pénale [RTFMP]) (art. 428 CPP).</w:t>
      </w:r>
    </w:p>
    <w:p>
      <w:r>
        <w:rPr>
          <w:b/>
        </w:rPr>
        <w:t>E. 5.2</w:t>
      </w:r>
    </w:p>
    <w:p>
      <w:r>
        <w:t>Il sera par voie de conséquence débouté de ses conclusions en indemnisation (art. 429 al. 1 CPP). * * * * *</w:t>
      </w:r>
    </w:p>
    <w:p>
      <w:r>
        <w:t>- 20/22 - P/16607/2019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