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AARP/84/2017 vom 9. März 2017</w:t>
      </w:r>
    </w:p>
    <w:p>
      <w:r>
        <w:t>GE Cour de justice, 2017-03-09, FR</w:t>
      </w:r>
    </w:p>
    <w:p>
      <w:r>
        <w:rPr>
          <w:b/>
        </w:rPr>
        <w:t xml:space="preserve">Quelle: </w:t>
      </w:r>
      <w:r>
        <w:t>https://mcp.opencaselaw.ch/entscheid/ge_gerichte_AARP_84_2017</w:t>
      </w:r>
    </w:p>
    <w:p>
      <w:r>
        <w:t>FR: GE_GERICHTE AARP/84/2017 du 9 mars 2017</w:t>
      </w:r>
    </w:p>
    <w:p>
      <w:r>
        <w:t>IT: GE_GERICHTE AARP/84/2017 del 9 marzo 2017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notamment (art. 399 al. 4 CPP) : la question de la culpabilité, le cas échéant en rapport avec chacun des actes (let. a) ; la quotité de la peine (let. b).</w:t>
      </w:r>
    </w:p>
    <w:p>
      <w:r>
        <w:t>La Chambre limite son examen aux violations décrites dans l'acte d'appel (art. 404 al. 1 CPP), sauf en cas de décisions illégales ou inéquitables (art. 404 al. 2 CPP).</w:t>
      </w:r>
    </w:p>
    <w:p>
      <w:r>
        <w:rPr>
          <w:b/>
        </w:rPr>
        <w:t>E. 2</w:t>
      </w:r>
    </w:p>
    <w:p>
      <w:r>
        <w:t>novembre 2009 consid. 2.1).</w:t>
      </w:r>
    </w:p>
    <w:p>
      <w:r>
        <w:t>- 6/13 - P/15195/2016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2.1.3. L'aveu est une preuve ordinaire qui n'a pas de valeur particulière. Il permet la condamnation de l'auteur lorsque le juge est convaincu qu'il est intervenu sans contrainte et paraît vraisemblable.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 déclarations initiales (arrêt du Tribunal fédéral 6B_275/2014 du 5 novembre 2014 consid. 6.2).</w:t>
      </w:r>
    </w:p>
    <w:p>
      <w:r>
        <w:rPr>
          <w:b/>
        </w:rPr>
        <w:t>E. 2.2</w:t>
      </w:r>
    </w:p>
    <w:p>
      <w:r>
        <w:t>En l'espèce, l'intimé a, lors de sa première audition, reconnu s'adonner à un trafic de stupéfiants depuis environ six semaines, pour préciser ses dires dès le lendemain, en ce sens qu'il était arrivé en Suisse à cette période, mais n'avait commencé à vendre de la drogue que trois semaines plus tard.</w:t>
      </w:r>
    </w:p>
    <w:p>
      <w:r>
        <w:t>- 7/13 - P/15195/2016 Bien que les précisions apportées par l'intimé lors de son audition devant le Ministère public, voire devant les premiers juges, puissent certes être motivées par les besoins de la cause, le dossier ne recèle pas assez d'éléments pour retenir, au-delà de tout doute raisonnable, qu'il se serait adonné à un trafic de stupéfiants avant le 23 juillet 2016. Cela est d'autant plus vrai que l'intimé avait déjà évoqué à la police qu'il avait dans un premier temps cherché un travail et dépensé ses économies avant de vendre de l'héroïne, de sorte que la version fournie au MP ne constitue pas une rétractation à proprement parler. En l'absence d'autres actes d'instruction, telle l'analyse des rétroactifs de son téléphone portable, il n'est en tout état de cause pas possible d'infirmer ses déclarations. Le MP s'était d'ailleurs, au départ, appuyé sur une période pénale de trois semaines environ lors de ses demandes de placement en détention et de prolongation de la détention provisoire. Dans le doute, il convient d'en rester là. Il y a donc lieu de retenir, comme les premiers juges, que la période pénale s'est étendue du 23 juillet au 15 août 2016, et que le trafic a porté sur une quantité de drogue de 1'365 grammes à 1'605 grammes d'héroïne. L'appel du MP sera rejeté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w:t>
      </w:r>
    </w:p>
    <w:p>
      <w:r>
        <w:t>- 8/13 - P/15195/2016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3.1.2. En matière de trafic de stupéfiants, il y a lieu de tenir compte, plus spécialement, des circonstances suivantes (arrêt du Tribunal fédéral 6B_843/2014 du</w:t>
      </w:r>
    </w:p>
    <w:p>
      <w:r>
        <w:rPr>
          <w:b/>
        </w:rPr>
        <w:t>E. 3.2</w:t>
      </w:r>
    </w:p>
    <w:p>
      <w:r>
        <w:t>En l'espèce, la faute de l'intimé est importante. Il a vendu de l'héroïne, soit une drogue dite dure, dont les effets sur la santé de ses consommateurs sont dévastateurs. Il aurait sans doute persisté dans ses agissements s'il n'avait pas été interpellé. Son trafic a porté sur une quantité conséquente d'héroïne, vendue à réitérées reprises et non pas en une seule fois.</w:t>
      </w:r>
    </w:p>
    <w:p>
      <w:r>
        <w:t>- 10/13 - P/15195/2016 Ses mobiles sont égoïstes, l'intimé qui n'est lui-même pas toxicomane, étant mû uniquement par l'appât du gain facile. Au bénéfice d'une bonne formation, de perspectives professionnelles certaines, logé et nourri par ses parents, l'intimé avait toute possibilité de gagner sa vie autrement, ce qui rend son comportement d'autant plus incompréhensible. A décharge, il sera retenu que son rôle était celui d'un simple revendeur de rue. La période pénale est relativement brève et son activité délictuelle est restée locale. Sa collaboration à la procédure doit être qualifiée de bonne, puisqu'il a immédiatement indiqué les numéros de téléphone pouvant permettre d'identifier son commanditaire et admis spontanément des ventes que le dossier n'établissait pas. Les regrets exprimés paraissent sincères et les perspectives d'avenir bonnes. L'intimé n'a pas d'antécédents, ce qui est toutefois un élément neutre sur la fixation de la peine (ATF 136 IV 1 consid. 2.6.4). Au vu de ces considérations, la peine fixée par les premiers juges est adéquate, si bien qu'elle sera confirmée, tout comme la mesure de sursis partiel dont les conditions sont réalisées. La durée du délai d'épreuve, fixée à trois ans par les premiers juges, paraît suffisamment longue pour dissuader l'intimé de récidiver, et sera maintenue. L'appel du Ministère public sera donc intégralement rejeté. 4. L'art. 51 CP impose au juge d'imputer la durée de la détention avant jugement sur la sanction infligée. La privation de liberté à subir doit toujours être compensée avec celle déjà subie, pour autant que cela soit possible (ATF 133 IV 150 consid. 5.1.1 p. 155). En l'occurrence, l'intimé a passé 207 jours en détention préventive, de sorte qu'il a exécuté la partie ferme de sa peine. Sa libération immédiate sera ordonnée, étant rappelé qu'il n'a droit à aucune indemnité (art. 431 al. 3 let. b CPP). 5. Vu la qualité de l’appelant, qui succombe, les frais de la procédure d’appel seront laissés à la charge de l'Etat (art. 428 CPP).</w:t>
      </w:r>
    </w:p>
    <w:p>
      <w:r>
        <w:t>- 11/13 - P/15195/2016 6. Considéré dans sa globalité, l'état de frais produit par le défenseur d'office de A______ paraît adéquat et conforme à la pratique en la matière, de sorte qu'il n'est pas nécessaire de reprendre le détail des postes qui le composent.</w:t>
      </w:r>
    </w:p>
    <w:p>
      <w:r>
        <w:t>Aussi, l'indemnité sera arrêtée à CHF 2'073.60, correspondant à 8h00 d'activité au tarif de CHF 200.-/l'heure, plus la majoration forfaitaire usuelle de 20% (CHF 320.-) et la TVA au taux de 8% (CHF 153.60).</w:t>
      </w:r>
    </w:p>
    <w:p>
      <w:r>
        <w:t>* * * * *</w:t>
      </w:r>
    </w:p>
    <w:p>
      <w:r>
        <w:t>- 12/13 - P/15195/2016</w:t>
      </w:r>
    </w:p>
    <w:p>
      <w:r>
        <w:rPr>
          <w:b/>
        </w:rPr>
        <w:t>E. 7</w:t>
      </w:r>
    </w:p>
    <w:p>
      <w:r>
        <w:t>avril 2015 consid. 1.1.1 ; voir aussi arrêts du Tribunal fédéral 6B_408/2008 du 14 juillet 2008 consid. 4.2 et 6B_297/2008 du 19 juin 2008 consid. 5.1.2 rendus sous l'ancien droit mais qui restent applicables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Enfin, le nombre d'opérations constitue un indice pour mesurer l'intensité du comportement délictueux ;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Outre les éléments qui portent sur l'acte lui-même, le juge doit prendre en considération la situation personnelle du délinquant, à savoir sa vulnérabilité face à la peine, ses obligations familiales, sa situation professionnelle, les risques de récidive, etc.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w:t>
      </w:r>
    </w:p>
    <w:p>
      <w:r>
        <w:t>- 9/13 - P/15195/2016 l'infraction avec les autorités policières ou judiciaires notamment si cette coopération a permis d'élucider des faits qui, à ce défaut, seraient restés obscurs (ATF 121 IV 202 consid. 2d/aa p. 204 ; 118 IV 342 consid. 2d p. 349). 3.1.3. Selon l'art. 43 CP, le juge peut suspendre partiellement l'exécution d'une peine privative de liberté d'un an au moins et de trois ans au plus afin de tenir compte de façon appropriée de la faute de l'auteur.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 arrêt du Tribunal fédéral 6B_129/2015 du 11 avril 2016 consid. 3.1 non reproduit in ATF 142 IV 89). Pour fixer dans ce cadre la durée de la partie ferme et avec sursis de la peine, le juge dispose d'un large pouvoir d'appréciation. A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 Ainsi, la faute constitue au premier chef un critère d'appréciation pour la fixation de la peine (art. 47 CP), puis doit être prise en compte de manière appropriée dans un deuxième temps pour déterminer la partie de la peine qui devra être exécutée (arrêts du Tribunal fédéral 6B_1323/2015 du 2 septembre 2016 consid. 1.1 et 6B_713/2007 du 4 mars 2008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