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AARP/83/2015 vom 6. Februar 2015</w:t>
      </w:r>
    </w:p>
    <w:p>
      <w:r>
        <w:t>GE Cour de justice, 2015-02-06, FR</w:t>
      </w:r>
    </w:p>
    <w:p>
      <w:r>
        <w:rPr>
          <w:b/>
        </w:rPr>
        <w:t xml:space="preserve">Quelle: </w:t>
      </w:r>
      <w:r>
        <w:t>https://mcp.opencaselaw.ch/entscheid/ge_gerichte_AARP_83_2015</w:t>
      </w:r>
    </w:p>
    <w:p>
      <w:r>
        <w:t>FR: GE_GERICHTE AARP/83/2015 du 6 février 2015</w:t>
      </w:r>
    </w:p>
    <w:p>
      <w:r>
        <w:t>IT: GE_GERICHTE AARP/83/2015 del 6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- 7/13 - P/5699/2012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2.2.1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vol. II, Berne 2010, n.34 ad art. 160).</w:t>
      </w:r>
    </w:p>
    <w:p>
      <w:r>
        <w:t>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(ATF 128 IV 23 consid. 3c p. 24 et les références citées ; arrêt du Tribunal fédéral 6S.324/2003 du 3 novembre 2003, consid. 1.2). La dissimulation consiste à rendre impossible ou plus difficile, au moins temporairement, la découverte de la chose (ATF 90 IV 17). Il y a dissimulation par exemple si l'auteur amène la chose à un endroit inattendu, par exemple la cache chez lui (ATF 117 IV 445).</w:t>
      </w:r>
    </w:p>
    <w:p>
      <w:r>
        <w:t>Sur le plan subjectif, l’infraction de recel est intentionnelle et le dol éventuel suffit. La formulation "dont il savait ou devait présumer" vise tant le dol direct que le dol éventuel. Il suffit donc que l'auteur sache ou doive présumer, respectivement qu'il accepte l'éventualité que la chose provienne d'une infraction contre le patrimoine (arrêt du Tribunal fédéral 6B_795/2007 du 4 mars 2008 consid. 3.1 ; B. CORBOZ, Les infractions en droit suisse, vol. I, 3e éd. 2010, art. 160 CP, n. 48). Dans ces circonstances, il n’est pas nécessaire que l’auteur connaisse la nature exacte de l’infraction contre le patrimoine, ni les circonstances dans lesquelles elle s’est déroulée (ATF 119 IV 242 consid. 2b p. 247). Déterminer ce qu’une personne a su, envisagé, voulu ou accepté relève des constatations de faits. Est en revanche une question de droit, celle de savoir si, en cas d’absence d’aveux, les éléments extérieurs sont révélateurs du contenu de la volonté (ATF 125 IV 242 consid. 3c p. 252 ; arrêt du Tribunal fédéral 6B_795/2007 du 4 mars 2008 consid. 3.1.). Il en va ainsi lorsque les circonstances suggèrent le soupçon de la provenance délictueuse (ATF 129 IV 230 consid. 5.3.2 p. 236 s. et les références à ATF 119 IV 242 consid. 2b, p. 247, 101 IV 402 consid. 2 p. 405) ou que les raisons de le soupçonner soient telles que cette possibilité s’impose à l’esprit (B. CORBOZ, op. cit., n. 48 ad art. 160).</w:t>
      </w:r>
    </w:p>
    <w:p>
      <w:r>
        <w:t>- 8/13 - P/5699/2012</w:t>
      </w:r>
    </w:p>
    <w:p>
      <w:r>
        <w:t>2.2.2 Selon l'art. 12 al. 2 CP, agit intentionnellement quiconque commet un crime ou un délit avec conscience et volonté. L'auteur agit déjà intentionnellement lorsqu'il tient pour possible la réalisation de l'infraction et l'accepte au cas où celle-ci se produirait.</w:t>
      </w:r>
    </w:p>
    <w:p>
      <w:r>
        <w:t>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w:t>
      </w:r>
    </w:p>
    <w:p>
      <w:r>
        <w:rPr>
          <w:b/>
        </w:rPr>
        <w:t>E. 2.3</w:t>
      </w:r>
    </w:p>
    <w:p>
      <w:r>
        <w:t>Sur le plan objectif, il est établi que l'appelant a aidé à négocier un cylindre d'or en mettant à disposition de son ami l'infrastructure dont il disposait. Il a usiné l'or et remis la limaille à l'intimé B______, pour suite à donner auprès de la fonderie H______. Si le rôle joué par l'appelant représentait pour l'intimé un préalable indispensable à la mise en place de l'opération commerciale, cela ne veut pas encore dire que l'appelant en a été partie prenante. Plus que sa personne, c'est l'atelier dont l'appelant disposait et les outils dont il savait se servir qui l'ont fait choisir comme exécutant des plans de l'intimé.</w:t>
      </w:r>
    </w:p>
    <w:p>
      <w:r>
        <w:t>La question de la réalisation du recel se pose quant à sa composante subjective. Sur ce plan, de nombreux indices démontrent que l'appelant a agi sans avoir quelque intérêt dans l'opération en cours. Il a rendu service à un ami qui, en plus d'être un collègue, était associé en affaires dans un commerce de bijouterie en cours de création à G_______, sans aucun rapport avec la présente cause. L'intimé lui a demandé ce service sans le rémunérer, ce qui peut faire douter de l'intérêt de l'appelant à la réussite de l'opération. L'inexistence de contacts directs entre le vendeur de l'or volé et l'appelant est établie, de sorte que celui-ci ne disposait pas de toutes les données parvenues à la connaissance de l'intimé (vol préalable chez D______, quantités d'or à vendre, prix négociés, etc.), toutes informations de nature à faire naître un doute sur la provenance de l'or vendue et que l'intimé s'est bien gardé de partager.</w:t>
      </w:r>
    </w:p>
    <w:p>
      <w:r>
        <w:t>- 9/13 - P/5699/2012</w:t>
      </w:r>
    </w:p>
    <w:p>
      <w:r>
        <w:t>Le souci que l'appelant et l'intimé ont éprouvé en commun portait sur la seule qualité de l'or, ainsi qu'ils l'ont soutenu et répété tout au long de l'instruction et comme l'a d'ailleurs admis le frère de l'intimé. Certes, certains propos tenus par l'appelant à la police ont été mis en exergue pour fonder l'existence d'un doute dans la réflexion de l'appelant. Ce raisonnement ne peut être suivi pour différents motifs.</w:t>
      </w:r>
    </w:p>
    <w:p>
      <w:r>
        <w:t>L'intimé a été seul à se poser des questions sur la personne du vendeur, ne serait-ce que parce que l'appelant ne le connaissait pas. Seul l'intimé a cherché à tester l'honnêteté de son interlocuteur, bien avant qu'il ne fasse appel à l'appelant pour ses compétences techniques. Le "quelque chose pas clair" sur lequel le premier juge s'est notamment basé ne peut pas fonder à lui seul une intention de receler l'or au regard des explications fournies lors des débats d'appel. L'appelant ne connaissait pas, voire très imparfaitement, le risque lié à l'opération d'usinage à laquelle il s'est prêté. Il pouvait difficilement en accepter le résultat, quel qu'ait été son tort de ne pas éprouver plus de curiosité en acceptant de rendre service à un ami. Comme l'a dit avec pertinence l'appelant, il en aurait été différemment si l'intimé lui avait apporté un sac rempli de bijoux en vrac ou s'il avait été plus disert sur sa connaissance de la provenance du métal, ce qui aurait assurément pu et dû éveiller son attention.</w:t>
      </w:r>
    </w:p>
    <w:p>
      <w:r>
        <w:t>En définitive, il faut convenir, contrairement à l'opinion soutenue par le premier juge, que le seul tort de l'appelant a consisté à se retrouver sur le chemin de la réalisation d'un recel dont il était étranger. L'intimé avait besoin de lui au regard de ses compétences et du matériel dont il disposait. Avec ce qu'il savait, l'appelant n'était pas apte à favoriser l'infraction projetée par l'intimé. Son intention d'agir frauduleusement, même par dol éventuel, fait défaut, les indices recueillis par la police étant insuffisants à fonder sa culpabilité.</w:t>
      </w:r>
    </w:p>
    <w:p>
      <w:r>
        <w:t>L'appelant doit ainsi être acquitté du chef d'infraction de recel et le jugement du Tribunal de police réformé en ce sens.</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w:t>
      </w:r>
    </w:p>
    <w:p>
      <w:r>
        <w:t>- 10/13 - P/5699/2012</w:t>
      </w:r>
    </w:p>
    <w:p>
      <w:r>
        <w:t>Tout « prévenu » au sens de l'art. 111 al. 1 CPP, c'est-à-dire toute personne soupçonnée, prévenue ou accusée d'une infraction, a le droit aux indemnités précitées (A. DONATSCH / T. HANSJAKOB / V. LIEBER (éds), Kommentar zur Schweizerischen Strafprozessordnung (StPO), Zürich 2010, n. 8 ad art. 429). Une mise en prévention formelle n'est donc pas nécessaire.</w:t>
      </w:r>
    </w:p>
    <w:p>
      <w:r>
        <w:t>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rPr>
          <w:b/>
        </w:rPr>
        <w:t>E. 3.1.1</w:t>
      </w:r>
    </w:p>
    <w:p>
      <w:r>
        <w:t>L'indemnité concerne les dépenses du prévenu pour un avocat de choix (ATF 138 IV 205 consid. 1 p. 206). Elle couvre en particulier les honoraires d'avocat, à condition que le recours à celui-ci procède d'un exercice raisonnable des droits de procédure.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w:t>
      </w:r>
    </w:p>
    <w:p>
      <w:r>
        <w:rPr>
          <w:b/>
        </w:rPr>
        <w:t>E. 3.1.2</w:t>
      </w:r>
    </w:p>
    <w:p>
      <w:r>
        <w:t>Si le prévenu est privé de sa liberté, même très brièvement, le tort moral est d'abord calculé sur la base d'une indemnité journalière, que les commentateurs proposent de fixer, avec le Tribunal fédéral, à CHF 200.- par jour. Ce montant peut ensuite être modifié en fonction de circonstances particulières, telles que la sensibilité du prévenu, le retentissement de la procédure sur son entourage ou la publicité particulière ayant entouré l'affaire en cause (A. KUHN / Y. JEANNERET (éds), op. cit., n. 48 ad art. 429). Dans un arrêt récent, le Tribunal fédéral a confirmé l'adéquation d'un montant de CHF 200.- par jour de détention en l'absence de circonstances particulières (arrêt 6B_437/2014 du 29 décembre 2014, consid. 3).</w:t>
      </w:r>
    </w:p>
    <w:p>
      <w:r>
        <w:t>La preuve de l'existence du dommage, son ampleur et sa relation de causalité adéquate avec la poursuite pénale introduite à tort incombent au requérant (arrêt du Tribunal fédéral 6B_595/2007 du 11 mars 2008 consid. 2.2).</w:t>
      </w:r>
    </w:p>
    <w:p>
      <w:r>
        <w:t>Lorsque l'indemnisation se fait sous la forme d'un capital, le demandeur a droit aux intérêts de celui-ci. Ces intérêts, dont le taux s'élève à 5% (art. 73 CO ; RS 220),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w:t>
      </w:r>
    </w:p>
    <w:p>
      <w:r>
        <w:t>- 11/13 - P/5699/2012 THÉVENOZ / F. WERRO, Commentaire romand : Code des obligations I, Genève, Bâle, Munich, 2003, n. 19 ad art. 42 et n. 3 ad art. 104).</w:t>
      </w:r>
    </w:p>
    <w:p>
      <w:r>
        <w:t>3.2.1 Le tarif horaire pratiqué par le conseil de l'appelant est conforme à ce qui se fait dans le canton de Genève, de sorte qu'il ne prête pas le flanc à la critique. Tel n'est pas le cas du temps consacré à la défense des intérêts de l'appelant, les 68 heures d'activité déployée étant manifestement excessives au regard de la difficulté relative de la cause.</w:t>
      </w:r>
    </w:p>
    <w:p>
      <w:r>
        <w:t>Le temps d'étude du dossier (douze heures), celui consacré aux diverses lectures d'actes judiciaires (huit heures pour la lecture du jugement de première instance et deux heures pour celle de l'ordonnance de fixation des débats d'appel) ou de leur rédaction (six heures et demie pour les annonce et déclaration d'appel qui n'ont pas à être motivées au regard du CPP), le temps consacré aux correspondances dont celles par courriel (minimum de 30 minutes pour chacune d'elles) et celui retenu pour la préparation des audiences (cinq heures pour le Tribunal de police après les douze heures consacrées à l'étude du dossier) constituent autant d'éléments qui autorisent la CPAR à conclure à une surévaluation de la note d'honoraires. Celle-ci sera ainsi réduite de la moitié, de façon à retenir un nombre d'heures raisonnable et adapté aux caractéristiques de la cause dont la difficulté était moyenne.</w:t>
      </w:r>
    </w:p>
    <w:p>
      <w:r>
        <w:t>Il est ainsi fait droit aux conclusions de l'appelant liées à la couverture de sa défense à concurrence de 34 heures à CHF 450.- l'unité, ce qui correspond à une prise en charge par l'Etat de CHF 15'300.-, à laquelle s'ajoute la TVA de 8%, soit un total de CHF 16'524.-.</w:t>
      </w:r>
    </w:p>
    <w:p>
      <w:r>
        <w:t>3.2.2 L'appelant a subi deux jours de détention illicite, de sorte qu'il a droit à être indemnisé à concurrence de CHF 400.-, selon la dernière jurisprudence du Tribunal fédéral, montant auquel s'ajoutent les intérêts de 5 % à compter de la date de sa libération.</w:t>
      </w:r>
    </w:p>
    <w:p>
      <w:r>
        <w:t>Le tort moral complémentaire requis n'est pas documenté. Il est douteux que l'appelant puisse s'en prévaloir, aucune preuve n'ayant été apportée qui établirait que sa réputation professionnelle aurait souffert de son implication dans la présente cause pénale. L'appelant est toujours employé par l'Etat, certes avec un cahier des charges légèrement différent mais sans qu'un lien de cause à effet puisse être tiré. Le contraire n'a en tout état pas été établi.</w:t>
      </w:r>
    </w:p>
    <w:p>
      <w:r>
        <w:rPr>
          <w:b/>
        </w:rPr>
        <w:t>E. 4</w:t>
      </w:r>
    </w:p>
    <w:p>
      <w:r>
        <w:t>L'appel ayant été admis, il ne sera pas perçu de frais (art. 428 CPP a contrario). * * * * *</w:t>
      </w:r>
    </w:p>
    <w:p>
      <w:r>
        <w:t>- 12/13 - P/5699/2012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