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AARP/82/2024 vom 12. März 2024</w:t>
      </w:r>
    </w:p>
    <w:p>
      <w:r>
        <w:t>GE Cour de justice, 2024-03-12, FR</w:t>
      </w:r>
    </w:p>
    <w:p>
      <w:r>
        <w:rPr>
          <w:b/>
        </w:rPr>
        <w:t xml:space="preserve">Quelle: </w:t>
      </w:r>
      <w:r>
        <w:t>https://mcp.opencaselaw.ch/entscheid/ge_gerichte_AARP_82_2024</w:t>
      </w:r>
    </w:p>
    <w:p>
      <w:r>
        <w:t>FR: GE_GERICHTE AARP/82/2024 du 12 mars 2024</w:t>
      </w:r>
    </w:p>
    <w:p>
      <w:r>
        <w:t>IT: GE_GERICHTE AARP/82/2024 del 12 marzo 2024</w:t>
      </w:r>
    </w:p>
    <w:p>
      <w:pPr>
        <w:pStyle w:val="Heading2"/>
      </w:pPr>
      <w:r>
        <w:t>Erwägungen</w:t>
      </w:r>
    </w:p>
    <w:p>
      <w:r>
        <w:rPr>
          <w:b/>
        </w:rPr>
        <w:t>E. 1</w:t>
      </w:r>
    </w:p>
    <w:p>
      <w:r>
        <w:t>Conformément à l'art. 403 al. 1 let. a du Code de procédure pénale (CPP), une décision écrite sur la recevabilité de l'appel doit être rendue lorsque la direction de la procédure ou une partie invoque l'un des moyens prévus par l'art. 403 al. 1 let. a à c CPP.</w:t>
      </w:r>
    </w:p>
    <w:p>
      <w:r>
        <w:rPr>
          <w:b/>
        </w:rPr>
        <w:t>E. 2</w:t>
      </w:r>
    </w:p>
    <w:p>
      <w:r>
        <w:t>mars 2023 consid. 1.3 et les références citées).</w:t>
      </w:r>
    </w:p>
    <w:p>
      <w:r>
        <w:rPr>
          <w:b/>
        </w:rPr>
        <w:t>E. 2.1</w:t>
      </w:r>
    </w:p>
    <w:p>
      <w:r>
        <w:t>L'art. 401 CPP prévoit que l'art. 399, al. 3 et 4, s'applique par analogie à l'appel joint (al. 1) ; l'appel joint n'est pas limité à l'appel principal, sauf si celui-ci porte</w:t>
      </w:r>
    </w:p>
    <w:p>
      <w:r>
        <w:t>- 4/8 - P/15616/2022 exclusivement sur les conclusions civiles du jugement (al. 2) ; si l'appel principal est retiré ou fait l'objet d'une décision de non-entrée en matière, l'appel joint est caduc (al. 3). 2.2.1. Contrairement à ce qui prévaut pour les autres parties à la procédure (cf. art. 382 al. 1 CPP),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sans avoir besoin de justifier au surplus d'être directement lésé par le jugement attaqué (ATF 147 IV 505 consid. 4.4.1 et arrêts du Tribunal fédéral 6B_68/2022 du 23 janvier 2022 consid. 5.2 ; 6B_918/2022 du 2 mars 2023 consid. 1.1 ; 6B_715/2022 du 22 mars 2023 consid. 2.1.1). 2.2.2. Pour autant, si ces considérations sont susceptibles de valoir pleinement s'agissant d'un recours (cf. art. 393 CPP) ou d'un appel principal (cf. art. 398 CPP) déposé par le ministère public, on ne saurait d'emblée admettre qu'il doive en aller de même en toutes circonstances pour un appel joint (cf. art. 401 CPP), dont le caractère exclusivement accessoire par rapport à l'appel principal et les possibilités d'en abuser supposent une approche plus nuancée de la légitimation du ministère public. 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au détriment du prévenu auteur de l'appel principal (cf. art. 391 al. 2, 1e phrase, a contrario CPP), et d'inciter indirectement ce dernier à le retirer (ATF 147 IV 505 consid. 4.4.2 et arrêts du Tribunal fédéral 6B_68/2022 du 23 janvier 2022 consid. 5.3 ; 6B_918/2022 du 2 mars 2023 consid. 1.2 ; 6B_715/2022 du 22 mars 2023 consid. 2.1.2). 2.2.3. Le législateur fédéral a introduit l'appel joint (cf. art. 401 CPP), tout en obligeant le ministère public à comparaître aux débats dans une telle hypothèse (cf. art. 405 al. 3 let. b CPP), afin de réduire les cas, constatés comme étant fréquents en pratique, dans lesquels l'appel joint était interjeté pour amener le prévenu à retirer son appel principal. S'il en ressort que le législateur avait ainsi bien conscience des potentiels abus susceptibles de survenir dans le cadre du recours à l'appel joint, il</w:t>
      </w:r>
    </w:p>
    <w:p>
      <w:r>
        <w:t>- 5/8 - P/15616/2022 demeure en l'état loisible au ministère public, sans qu'une comparution à l'audience consacre une perspective réellement dissuasive, d'interjeter un appel joint à la suite de tout appel principal d'un prévenu. Cela ne saurait toutefois être admis si le seul et unique but de l'appel joint est de faire pression sur le prévenu (ATF 147 IV 505 consid. 4.4.3 et arrêts du Tribunal fédéral 6B_68/2022 du 23 janvier 2022 consid. 5.4 et 6B_918/2022 du 2 mars 2023 consid. 1.3). 2.2.4.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sans que le sort de ses réquisitions dépende d'un éventuel retrait de l'appel principal du prévenu, qui aurait pour conséquence de rendre son appel joint caduc (cf. art. 401 al. 3 CPP). Dans ce contexte, si, au regard de l'art. 381 al. 1 CPP, il n'y a pas matière à exiger du ministère public qu'il puisse justifier d'un intérêt juridiquement protégé lors du dépôt d'un appel joint, il convient de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Il en va en particulier ainsi lorsque le ministère public forme, sans motivation précise et en l'absence de faits nouveaux dont il entendait par hypothèse se prévaloir (cf. art. 391 al. 2, 2e phrase, CPP), un appel joint sur la seule question de la peine en demandant une aggravation, alors que ses réquisitions à cet égard avaient été intégralement suivies par l'autorité de première instance (arrêt du Tribunal fédéral 6B_918/2022 du</w:t>
      </w:r>
    </w:p>
    <w:p>
      <w:r>
        <w:rPr>
          <w:b/>
        </w:rPr>
        <w:t>E. 2.3</w:t>
      </w:r>
    </w:p>
    <w:p>
      <w:r>
        <w:t>En l'occurrence, l'appel joint formé par le MP sur la peine n'est pas abusif. En effet, la jurisprudence est claire : il s'agit d'éviter que le MP forme, sans motivation précise et en l'absence de faits nouveaux, un appel joint sur la seule question de la peine en demandant une aggravation, alors que ses réquisitions en première instance ont été intégralement suivies par l'autorité de première instance. Or, tel n'est pas le cas ici dès lors que le MP n'a pas obtenu gain de cause par-devant le TCO, tant sur la quotité de la peine que sur le sursis. Il s'ensuit que les deux jurisprudences citées par l'appelant ne lui sont d'aucun secours, étant relevé que le Tribunal fédéral a même souligné dans son arrêt 6B_68/2022, que l'appel joint aurait été recevable si le ministère public s'était limité à solliciter la peine requise en première instance (12 mois) au lieu de juger utile de demander une peine plus sévère sur appel joint (16 mois) (consid. 5.5). Peu importe que le MP sollicite ici une peine largement plus élevée (quatre ans) que celle fixée par le TCO (18 mois) dans la mesure où il ne fait que reprendre ses</w:t>
      </w:r>
    </w:p>
    <w:p>
      <w:r>
        <w:t>- 6/8 - P/15616/2022 conclusions de première instance, lesquelles étaient parfaitement connues de l'appelant. Dans ces conditions, le MP n'avait nullement besoin de motiver son appel joint ou de s'appuyer sur un fait nouveau. L'appelant savait que le MP avait la possibilité de faire appel, tant principal que joint, pour réclamer une condamnation plus sévère, basée sur son réquisitoire lors des premiers débats. Dans un de ses récents arrêts (6B_918/2022 du 2 mars 2023 consid. 1.4), le Tribunal fédéral a d'ailleurs confirmé ce principe en déclarant recevable l'appel joint par lequel le MP avait requis une peine privative de 18 mois, conformément à ses conclusions lors des premiers débats, alors que seule une peine pécuniaire de 140 jours-amende avait été prononcée en première instance. Le MP avait en outre utilisé cette voie pour contester un classement prononcé par le tribunal de première instance, alors même qu'il avait renoncé à déposer un appel principal sur ce point, tout comme sur la faible peine initialement fixée au regard de la peine requise.</w:t>
      </w:r>
    </w:p>
    <w:p>
      <w:r>
        <w:t>Au vu de ce qui précède, l'appel joint n'apparaît nullement abusif et l'existence d'une démarche contradictoire susceptible de se heurter au principe de la bonne foi est exclue. La demande de non-entrée en matière sera partant rejetée et l'appel joint déclaré recevable.</w:t>
      </w:r>
    </w:p>
    <w:p>
      <w:r>
        <w:rPr>
          <w:b/>
        </w:rPr>
        <w:t>E. 3.1</w:t>
      </w:r>
    </w:p>
    <w:p>
      <w:r>
        <w:t>Les frais de la procédure de recours sont mis à la charge des parties dans la mesure où elles ont obtenu gain de cause ou succombé (art. 428 al. 1 CPP).</w:t>
      </w:r>
    </w:p>
    <w:p>
      <w:r>
        <w:rPr>
          <w:b/>
        </w:rPr>
        <w:t>E. 3.2</w:t>
      </w:r>
    </w:p>
    <w:p>
      <w:r>
        <w:t>La demande de non-entrée en matière formée par l'appelant est rejetée de sorte qu'il se justifie de mettre à sa charge les frais occasionnés par la présente décision, comprenant un émolument de décision arrêté à CHF 500.- (art. 14 du règlement fixant le tarif des frais en matière pénale du 22 décembre 2010 [RTFMP]). * * * * *</w:t>
      </w:r>
    </w:p>
    <w:p>
      <w:r>
        <w:t>- 7/8 - P/15616/2022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