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AARP/80/2020 vom 24. Februar 2020</w:t>
      </w:r>
    </w:p>
    <w:p>
      <w:r>
        <w:t>GE Cour de justice, 2020-02-24, FR</w:t>
      </w:r>
    </w:p>
    <w:p>
      <w:r>
        <w:rPr>
          <w:b/>
        </w:rPr>
        <w:t xml:space="preserve">Quelle: </w:t>
      </w:r>
      <w:r>
        <w:t>https://mcp.opencaselaw.ch/entscheid/ge_gerichte_AARP_80_2020</w:t>
      </w:r>
    </w:p>
    <w:p>
      <w:r>
        <w:t>FR: GE_GERICHTE AARP/80/2020 du 24 février 2020</w:t>
      </w:r>
    </w:p>
    <w:p>
      <w:r>
        <w:t>IT: GE_GERICHTE AARP/80/2020 del 24 febbraio 2020</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w:t>
      </w:r>
    </w:p>
    <w:p>
      <w:r>
        <w:rPr>
          <w:b/>
        </w:rPr>
        <w:t>E. 5</w:t>
      </w:r>
    </w:p>
    <w:p>
      <w:r>
        <w:t>L'appelant, qui succombe pour l'essentiel, supportera les ¾ des frais de la procédure envers l'Etat, y compris un émolument de CHF 1'500.-, le solde étant laissé à la charge de l'Etat pour tenir compte du rejet de l'appel joint du MP (art. 428 CPP). Compte tenu des verdicts de culpabilité confirmés, il ne se justifie en outre pas de revoir la condamnation aux frais de première instance qui reste justifiée.</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- 10/13 - P/24902/2018</w:t>
      </w:r>
    </w:p>
    <w:p>
      <w:r>
        <w:rPr>
          <w:b/>
        </w:rPr>
        <w:t>E. 6.2</w:t>
      </w:r>
    </w:p>
    <w:p>
      <w:r>
        <w:t>En l’occurrence, considéré globalement, l’état de frais produit par le conseil de l’appelant paraît adéquat et conforme aux dispositions et principes qui précèdent, de sorte qu’il sera admis sans en reprendre le détail.</w:t>
      </w:r>
    </w:p>
    <w:p>
      <w:r>
        <w:t>En conclusion, l'indemnité sera arrêtée à CHF 2'775.65 correspondant à 2h20 d'activité au tarif de CHF 200.-/heure, 13h50 au tarif de CHF 110.-/heure, ainsi qu'un déplacement à CHF 55.- pour l'audience d'appel et la majoration forfaitaire de 10% et l'équivalent de la TVA au taux de 7.7% en CHF 198.45. * * * * *</w:t>
      </w:r>
    </w:p>
    <w:p>
      <w:r>
        <w:t>- 11/13 - P/24902/2018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