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AARP/7/2025 vom 6. Januar 2025</w:t>
      </w:r>
    </w:p>
    <w:p>
      <w:r>
        <w:t>GE Cour de justice, 2025-01-06, FR</w:t>
      </w:r>
    </w:p>
    <w:p>
      <w:r>
        <w:rPr>
          <w:b/>
        </w:rPr>
        <w:t xml:space="preserve">Quelle: </w:t>
      </w:r>
      <w:r>
        <w:t>https://mcp.opencaselaw.ch/entscheid/ge_gerichte_AARP_7_2025</w:t>
      </w:r>
    </w:p>
    <w:p>
      <w:r>
        <w:t>FR: GE_GERICHTE AARP/7/2025 du 6 janvier 2025</w:t>
      </w:r>
    </w:p>
    <w:p>
      <w:r>
        <w:t>IT: GE_GERICHTE AARP/7/2025 del 6 gennaio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Aux termes de l'art. 389 al. 1 CPP, la procédure de recours se fonde sur les preuves administrées pendant la procédure préliminaire et de première instance. L'art. 389 al. 3 CPP règle les preuves complémentaires. La juridiction de recours administre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6B_1173/2016 du</w:t>
      </w:r>
    </w:p>
    <w:p>
      <w:r>
        <w:rPr>
          <w:b/>
        </w:rPr>
        <w:t>E. 7</w:t>
      </w:r>
    </w:p>
    <w:p>
      <w:r>
        <w:t>août 2017 consid. 2.1 ; 6B_71/2016 du 5 avril 2017 consid. 2.1.3). L'autorité cantonale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w:t>
      </w:r>
    </w:p>
    <w:p>
      <w:r>
        <w:t>Le juge peut ainsi refuser l'administration de nouvelles preuves lorsqu'une appréciation anticipée de celles-ci (respectivement le résultat de celles déjà administrées), le conduit</w:t>
      </w:r>
    </w:p>
    <w:p>
      <w:r>
        <w:t>- 9/19 - P/1120/2022 à la conviction qu'elles ne seraient pas de nature à influencer l'issue du procès. Le droit d'être entendu n'empêche en effet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141 I 60 consid. 3.3 p. 64 ; arrêt du Tribunal fédéral 6B_445/2016 du 5 juillet 2017 consid. 5.7.5).</w:t>
      </w:r>
    </w:p>
    <w:p>
      <w:r>
        <w:t>2.2.1. L'appelant sollicite l'audition de la personne qui aurait pratiqué le prélèvement de sang aux HUG en janvier 2022. Or, le médecin ayant validé cet acte ainsi que l'infirmière de tri du jour des faits ont été entendus, et n'avaient tous deux que de vagues souvenirs des événements ; il est dès lors douteux que la personne ayant procédé à l'acte médical, si tant est qu'elle puisse être identifiée (ce qui apparaît particulièrement peu probable dans la mesure où toute les recherches déjà entreprises ne l'ont pas permis), se souvienne des faits plus de deux ans plus tard, s'agissant d'un acte (prise de sang) routinier, même si les circonstances de l'espèce (patient agité, présence de policiers) l'étaient sans doute moins. De surcroît, et surtout, aucun élément de la procédure ne permet de douter du fait que la prise de sang a bien été effectuée et que le sang récolté est celui qui a été analysé par le CURML, comme l'ont confirmé les experts lors de leur audition. En particulier, les reproches faits par l'appelant (multiplication des piqûres, remplissage d'un tube par un autre), même s'ils étaient tous avérés, ne seraient pas de nature à modifier le résultat des analyses, les experts l'ayant expressément exclu.</w:t>
      </w:r>
    </w:p>
    <w:p>
      <w:r>
        <w:t>2.3.2. L'appelant sollicite une expertise, se prévalant notamment de l'attestation d'un médecin français. Cette pièce n'est toutefois pas de nature à remettre en cause les explications claires fournies par les experts du CURML entendus au MP. Il faut en particulier relever qu'à teneur de cette attestation, l'influence négative alléguée de la désinfection à l'alcool serait faible et interviendrait uniquement en cas de ponction veineuse mal effectuée. Or, l'appelant n'allègue pas que les intervenants des HUG, rompus à l'exercice de la prise de sang, n'auraient pas respecté les règles en matière de désinfection. Enfin et surtout, les experts ont exclu une telle influence dans le cas d'espèce. Ceux-ci ont par ailleurs confirmé, sur la base de leurs notes, qu'ils avaient procédé à leurs analyses sur la seule base d'un échantillon prélevé aux HUG, sur la base de l'étiquette apposée sur l'éprouvette. Rien ne permet de douter des explications et conclusions des experts, ce d'autant que le praticien ayant prélevé le premier échantillon à 8h45 a indiqué que celui-ci était de 3 ml, alors qu'aucun échantillon d'un tel volume n'est parvenu au CURML. S'il est certes regrettable que l'échantillon prélevé à 8h45 ait apparemment été égaré, l'appelant n'explique pas en quoi cette erreur affecterait le résultat de l'expertise. Il ressort en réalité des explications des experts que l'analyse d'échantillons prélevés plus tardivement, dont la précision est moins grande, n'est en tout cas pas en défaveur du prévenu, puisque la borne inférieure du résultat est d'autant plus basse, la marge d'erreur étant plus grande.</w:t>
      </w:r>
    </w:p>
    <w:p>
      <w:r>
        <w:t>- 10/19 - P/1120/2022</w:t>
      </w:r>
    </w:p>
    <w:p>
      <w:r>
        <w:t>Les experts ont également exclu toute influence ou contamination autre, liée au diabète ou aux médicaments de l'appelant, ce qui confirme l'inutilité de l'expertise demandée.</w:t>
      </w:r>
    </w:p>
    <w:p>
      <w:r>
        <w:t>Les réquisitions de preuve de l'appelant sont ainsi rejetées. 3. 3.1. 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3.2. À teneur de l'art. 123 ch. 1 CP, quiconque, intentionnellement, fait subir à une personne une autre atteinte à l'intégrité corporelle ou à la santé est puni sur plainte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w:t>
      </w:r>
    </w:p>
    <w:p>
      <w:r>
        <w:t>- 11/19 - P/1120/2022 trouble passager et sans importance du sentiment de bien-être (ATF 134 IV 189 consid. 1.1 p. 191 et les références citées ; plus récemment arrêt du Tribunal fédéral 6B_1283/2018 du 14 février 2019 consid. 2.1). 3.3. Se rend coupable d'injure quiconque, par la parole, l'écriture, l'image, le geste ou par des voies de fait, attaque autrui dans son honneur (art. 177 al. 1 CP). Cette infraction est subsidiaire par rapport à la diffamation (art. 173 CP) ou à la calomnie (art. 174 CP). Elle est punie, sur plainte, d'une peine pécuniaire de 90 jours-amende au plus.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3.4. Quiconque, en usant de violence ou de menace, empêche une autorité, un membre d'une autorité ou un fonctionnaire de faire un acte entrant dans ses fonctions, les contraint à faire un tel acte ou se livre à des voies de fait sur eux pendant qu'ils y procèdent, est puni d'une peine privative de liberté de trois ans au plus ou d'une peine pécuniaire (art. 285 ch. 1 1ère phrase aCP [teneur en vigueur au moment des faits]). L’art. 285 CP réprime deux infractions différentes : la contrainte contre les autorités ou les fonctionnaires et les voies de fait contre ceux-ci.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3e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n. 5 ad art. 285 CP).</w:t>
      </w:r>
    </w:p>
    <w:p>
      <w:r>
        <w:t>- 12/19 - P/1120/2022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(arrêt du Tribunal fédéral 6B_182/2022 du 25 janvier 2023 consid. 2.1.1).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 CP). 3.5. Selon l'art. 91 al. 1 LCR, quiconque a conduit un véhicule automobile en état d'ébriété, est puni de l'amende. La peine sera une peine privative de liberté de trois ans au plus ou une peine pécuniaire lorsque le taux d'alcoolémie est qualifié (al. 2 let. a). Aux termes de l'art. 1 de l'ordonnance de l'Assemblée fédérale concernant les taux d'alcoolémie limites admis en matière de circulation routière, un conducteur est réputé incapable de conduire lorsqu'il présente un taux d'alcoolémie de 0,5 gramme pour mille ou plus ou que son organisme contient une quantité d'alcool entraînant un tel taux d'alcoolémie (état d'ébriété ; ch. 1). Est réputé qualifié un taux d'alcoolémie de 0,8 gramme pour mille ou plus (ch. 2). Lorsqu'une analyse de sang a pu être effectuée à satisfaction scientifique, le juge ne saurait s'en écarter. En particulier, il est tenu de respecter le cadre défini par l'analyse, autrement dit les valeurs minimale et maximale d'alcoolémie qu'elle fixe (ATF 129 IV 290 consid. 2.7 p. 295 ; arrêts du Tribunal fédéral 6B_1025/2017 du 26 avril 2018 consid. 1.3.1 ; 6B_1037/2013 du 20 mars 2014 consid. 1.4.1). En revanche, aucune disposition légale n'impose en elle-même au juge de retenir l'alcoolémie la plus faible mentionnée dans l'analyse (cf. ATF 129 IV 290 consid. 2.7 p. 295 ; arrêt du Tribunal fédéral 6S.412/2004 du 16 décembre 2005 consid. 2.9).</w:t>
      </w:r>
    </w:p>
    <w:p>
      <w:r>
        <w:t>- 13/19 - P/1120/2022 3.6. Selon l'art. 19 al. 1 CP, l'auteur n'est pas punissable si, au moment d'agir, il ne possédait pas la faculté d'apprécier le caractère illicite de son acte ou de se déterminer d'après cette appréciation. Le juge atténue la peine si, au moment d'agir, l'auteur ne possédait que partiellement la faculté d'apprécier le caractère illicite de son acte ou de se déterminer d'après cette appréciation (al. 2). Selon la jurisprudence, une concentration d'alcool de 2 à 3 g ‰ entraîne une présomption de diminution de responsabilité, alors qu'une concentration inférieure à 2 g ‰ induit la présomption qu'une diminution de responsabilité n'entre pas en ligne de compte. Il ne s'agit là toutefois que de présomptions qui peuvent être renversées dans un cas donné en raison d'indices contraires (ATF 122 IV 49 consid. 1b p. 50 s. ; arrêts du Tribunal fédéral 6B_136/2016 du 23 janvier 2017 consid. 2.3, 6B_616/2015 du 5 avril 2016 consid. 2.3). 3.7. En l'espèce, l'appelant persiste en appel à contester toute consommation d'alcool, alors que les résultats de la prise de sang démontrent le contraire. Il ne fait pourtant aucun doute que l'analyse a bien été effectuée sur le sang prélevé sur l'appelant le jour des faits ; les experts en toxicologie ont confirmé la validité du résultat et du calcul en retour, ainsi que l'absence d'un quelconque facteur de contamination de ce résultat. S'ajoutent à cet élément – en lui-même déjà suffisamment incriminant – les circonstances de l'interpellation de l'appelant (appel de son passager, comportement décrit par celui-ci et attitude de l'appelant à l'arrivée de la police), les constatations des policiers à leur arrivée sur les lieux (notamment la découverte d'une bouteille d'alcool au pied du siège du conducteur) et les propos que l'appelant lui-même a tenu à cette occasion, par lesquels il a admis une consommation d'alcool au cours de la nuit (étant rappelé que les policiers sont habilités à recueillir informellement des renseignements pour clarifier la situation à leur arrivée sur les lieux : arrêts du Tribunal fédéral 6B_527/2023 du 29 août 2023 consid. 2.1.3 ; 7B_25/2024 du 27 novembre 2024 consid. 1.4.2). Tous ces éléments confirment que l'appelant était sous l'influence d'alcool qu'il avait lui-même consommé au moment de conduire son véhicule la nuit des faits. Il n'y a pas de motif de s'écarter du taux établi par les calculs du CURML. Comme l'ont à juste titre indiqué les experts, les résultats d'analyse de la CDT produits par l'appelant n'invalident pas cette conclusion, dans la mesure où une intoxication aigüe passagère ne se reflète pas forcément dans l'analyse de ce marqueur biologique spécifique de la consommation abusive d'alcool (cf. ATF 129 II 82 sur la portée de ce marqueur). Il en va de même de la désinfection à l'alcool, les experts ayant exclu toute influence sur le résultat. Il faut donc retenir que l'appelant a circulé au volant de son véhicule alors qu'il présentait un taux d'alcool d'au moins 1.56 g/kg. Le verdict de culpabilité d'infraction à l'art. 91 al. 2 let. a LCR est confirmé.</w:t>
      </w:r>
    </w:p>
    <w:p>
      <w:r>
        <w:t>- 14/19 - P/1120/2022 3.8. Sans contester formellement la matérialité des faits commis au détriment des policiers mais en se fondant principalement sur son absence de souvenir des événements, son comportement et son état second, l'appelant conteste toute responsabilité et donc toute infraction. Il ne saurait toutefois être suivi. D'une part, le taux d'alcoolisation établi et retenu ci-dessus se situe largement en-deçà du taux de 3 g ‰ permettant de présumer une irresponsabilité ; il est même inférieur au taux de 2 g ‰ induisant la présomption d'une diminution de responsabilité. D'autre part et surtout, si son comportement envers les policiers a certainement été extravagant, l'appelant a néanmoins été en mesure de conduire son véhicule, de reconnaître les policiers comme tels, d'interagir avec eux comme il l'avait fait avec son passager et ensuite avec le médecin. Il a surtout fait preuve d'un comportement désinhibé, classiquement associé à l'effet dépresseur de l'alcool, et opposant, moins caractéristique mais néanmoins fréquent chez les personnes sous l'influence de telles substances. Le fait d'avoir agi différemment de son habitude, en raison de cette consommation, ou de ne pas en avoir gardé le souvenir – phénomène également associé à la consommation d'alcool – ne diminue pas pour autant sa responsabilité pénale au moment des faits. Rien ne permet de retenir que l'appelant n'était pas en mesure d'apprécier le caractère illicite de son comportement ou de se déterminer d'après cette appréciation. L'aberration de son comportement, vraisemblablement encouragée par sa consommation d'alcool et l'euphorie associée, ne réduit ainsi pas sa responsabilité, étant souligné que les comportements a priori aberrants sont constatés de façon fréquente par la police dans ses interventions ; celui de l'appelant le soir des faits s'inscrit malheureusement dans le stéréotype des comportements délictueux. Enfin, la Cour peine à comprendre quel argument l'appelant entend tirer de sa consultation d'une permanence le lendemain des faits. Il n'est au surplus pas rare que des prévenus regrettent ensuite les emportements auxquels ils ont pu se livrer, sans que cela, non plus, ne diminue leur responsabilité pénale. Les faits (crachats, coups de pied, résistance à l'interpellation puis opposition à l'entrée dans un véhicule de patrouille, menaces, etc.) sont au surplus constitutifs de lésions corporelles simples, d'injures et de violence ou menace contre les autorités et les fonctionnaires. Le verdict de culpabilité doit ainsi être intégralement confirmé.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- 15/19 - P/1120/2022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4.3. En l'espèce, l'appelant a agi au mépris de la sécurité publique, par défoulement gratuit et aviné aux dépens des policiers. Dans la mesure où il persiste jusqu'en appel à nier toute consommation d'alcool, ses mobiles demeurent au surplus obscurs ; il se peut, selon ses premières déclarations, qu'il ait bu pour oublier ou soulager des difficultés personnelles dont il ne fait plus état. Les souffrances exprimées apparaissent essentiellement tournées sur sa personne ; il ne fait preuve d'aucune introspection et d'aucun regret pour ses agissements. La situation personnelle de l'appelant n'explique ni ne justifie ses actes. Père de famille, atteint dans sa santé, il a cédé à la tentation en consommant de l'alcool alors que cela était contre-indiqué dans son état. Il n'est pas exclu que les conséquences d'une condamnation sur son activité professionnelle expliquent son déni ; cela étant, sa qualité de chauffeur de taxi devait justement l'aider à résister à toute tentation, en tout cas pendant ses heures de travail. Le prononcé d'une peine pécuniaire apparaît adéquat. Les infractions retenues sont toutes passibles de cette peine ; compte tenu de la poursuite d'office, les infractions à l'art. 91 LCR et à l'art. 285 CP sont les plus graves. Concrètement, l'infraction la plus</w:t>
      </w:r>
    </w:p>
    <w:p>
      <w:r>
        <w:t>- 16/19 - P/1120/2022 grave est la conduite en état d'ébriété, pour laquelle la peine de base sera fixée à 60 jours-amende. Cette peine sera augmentée de 40 unités (peine théorique : 60 jours- amende) pour la violence ou menace contre les autorités et les fonctionnaires, de 30 jours-amende (peine théorique : 40 jours-amende) pour les lésions corporelles simples et de 10 jours-amende (peine théorique : 15 jours-amende) pour les injures. Dans la mesure où la CPAR est liée par l'interdiction de la reformatio in pejus, la peine de 120 jours-amende arrêtée par le premier juge, qui apparaît clémente, doit être confirmée. Le montant du jour-amende, qui n'a pas été contesté et qui correspond au minimum légal, est adéquat, tout comme la durée du délai d'épreuve du sursis, qui est acquis à l'appelant. Enfin le prononcé d'une amende à titre de sanction immédiate apparaît adéquat au vu de la faible prise de conscience de l'appelant et justifié tant dans son montant que s'agissant de la peine privative de liberté de substitution qui l'assortit. Le jugement entrepris sera dès lors intégralement confirmé. 5. L'appelant, qui succombe, supportera les frais de la procédure envers l'État (art. 428 CPP). 6. Considéré globalement, l'état de frais produit par Me B______, défenseur d'office de A______ satisfait les exigences légales et jurisprudentielles régissant l'assistance judiciaire gratuite en matière pénale. Il convient cependant de le compléter de la durée de l'audience et d'une vacation.</w:t>
      </w:r>
    </w:p>
    <w:p>
      <w:r>
        <w:t>La rémunération de Me B______ sera partant arrêtée à CHF 2'327.75 correspondant à 9h20 d'activité au tarif de CHF 200.-/heure plus la majoration forfaitaire de 10%, une vacation à CHF 100.- et l'équivalent de la TVA au taux de 8.1% en CHF 174.42. * * * * *</w:t>
      </w:r>
    </w:p>
    <w:p>
      <w:r>
        <w:t>- 17/19 - P/1120/2022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