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AARP/7/2021 vom 11. Januar 2021</w:t>
      </w:r>
    </w:p>
    <w:p>
      <w:r>
        <w:t>GE Cour de justice, 2021-01-11, FR</w:t>
      </w:r>
    </w:p>
    <w:p>
      <w:r>
        <w:rPr>
          <w:b/>
        </w:rPr>
        <w:t xml:space="preserve">Quelle: </w:t>
      </w:r>
      <w:r>
        <w:t>https://mcp.opencaselaw.ch/entscheid/ge_gerichte_AARP_7_2021</w:t>
      </w:r>
    </w:p>
    <w:p>
      <w:r>
        <w:t>FR: GE_GERICHTE AARP/7/2021 du 11 janvier 2021</w:t>
      </w:r>
    </w:p>
    <w:p>
      <w:r>
        <w:t>IT: GE_GERICHTE AARP/7/2021 del 11 gennaio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9 CPP consacre la maxime d'accusation.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w:t>
      </w:r>
    </w:p>
    <w:p>
      <w:r>
        <w:t>- 6/16 - P/13891/2019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w:t>
      </w:r>
    </w:p>
    <w:p>
      <w:r>
        <w:rPr>
          <w:b/>
        </w:rPr>
        <w:t>E. 2.2</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ne correspond pas avec ce qu'il a prononcé.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6B_13/2016 du 23 janvier 2017 consid. 2.1). S'agissant d'une inadvertance manifeste, qui ne relève en rien de l'interprétation, rien n'empêche l'autorité de recours, qui constate une telle inadvertance, de procéder elle- même à une rectification d'office. La possibilité d'expliquer ou de rectifier des prononcés accordée aux autorités pénales par l'art. 83 CPP vise d'ailleurs à remédier à des carences de manière simple, sans passer par une procédure de recours. De ce point de vue, une suspension de la procédure de recours ou d'appel ainsi qu'un renvoi de la cause à l'autorité précédente afin que celle-ci puisse rectifier une simple erreur de plume seraient contraires au but de la disposition (arrêt du Tribunal fédéral 6B_155/2019 du 29 mars 2019 consid. 1.3).</w:t>
      </w:r>
    </w:p>
    <w:p>
      <w:r>
        <w:rPr>
          <w:b/>
        </w:rPr>
        <w:t>E. 2.3</w:t>
      </w:r>
    </w:p>
    <w:p>
      <w:r>
        <w:t>En l’espèce, il est avéré que l’ordonnance pénale tenant lieu d’acte d’accusation contient une erreur de plume sur la date des faits reprochés. Cela étant, l’appelant n’a pas été trompé par cette erreur et il connaissait, du début de la procédure jusqu’à ce jour, la nature et la teneur des faits reprochés. Il eût manifestement été disproportionné et contraire aux principes d’économie de la procédure et de célérité que le TP (et la CPAR après lui) invite le MP à rectifier cette erreur, et bien plus logique et rationnel que les juridictions saisies procèdent d’office à la correction nécessaire. Celle-ci n’a nullement porté atteinte au droit du prévenu de connaître précisément les faits reprochés et ne consacre aucune violation de la maxime accusatoire.</w:t>
      </w:r>
    </w:p>
    <w:p>
      <w:r>
        <w:t>- 7/16 - P/13891/2019</w:t>
      </w:r>
    </w:p>
    <w:p>
      <w:r>
        <w:rPr>
          <w:b/>
        </w:rPr>
        <w:t>E. 3.1</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 de savoir si l'auteur du délit préalable a été poursuivi ou puni est sans pertinence. Il suffit que l'acte initial réalise les conditions objectives d'un comportement pénalement répréhensible (ATF 101 IV 402 consid. 2 p. 405 et les références).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(arrêts du Tribunal fédéral 6B_189/2017 du 7 décembre 2017 consid. 4.1 ; 6B_1124/2014 du 22 septembre 2015 consid. 2.1).</w:t>
      </w:r>
    </w:p>
    <w:p>
      <w:r>
        <w:t>Le recel est punissable parce qu'il a pour effet de perpétuer, au préjudice de la victime du premier délit, l'état de fait contraire au droit que cette première infraction a généré (ATF 127 IV 79 consid. 2b p. 83 et les références ; arrêts du Tribunal fédéral 6B_641/2017 du 1er juin 2018 consid. 1.1 ; 6B_728/2010 du 1er mars 2011 consid. 2.2).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1er mars 2011 consid. 2.2). Il en va ainsi lorsque les circonstances suggèrent le soupçon de la provenance délictueuse (ATF 129 IV 230 consid. 5.3.2 p. 236 s. et les références à ATF 119 IV 242 consid. 2b p. 247 ; 101 IV 402 consid. 2 p. 405 s. ; arrêt du Tribunal fédéral 6B_641/2017 du 1er juin 2018 consid. 1.1).</w:t>
      </w:r>
    </w:p>
    <w:p>
      <w:r>
        <w:rPr>
          <w:b/>
        </w:rPr>
        <w:t>E. 3.2</w:t>
      </w:r>
    </w:p>
    <w:p>
      <w:r>
        <w:t>Selon l'art. 172ter al. 1 CP, applicable aux infractions contre le patrimoine, si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w:t>
      </w:r>
    </w:p>
    <w:p>
      <w:r>
        <w:t>- 8/16 - P/13891/2019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w:t>
      </w:r>
    </w:p>
    <w:p>
      <w:r>
        <w:rPr>
          <w:b/>
        </w:rPr>
        <w:t>E. 3.3</w:t>
      </w:r>
    </w:p>
    <w:p>
      <w:r>
        <w:t>En l’espèce, la condition objective de l’infraction est réalisée et il n’est pas contesté que la montre vendue par l’appelant provient d’un cambriolage. Cette montre ne constitue manifestement pas – nonobstant son prix de vente modique de CHF 200.- – un objet courant, une montre de marque D______ ne pouvant être assimilée à une breloque. La vente de cette montre à un commerce de seconde main est un acte typique de recel puisqu’il permet la mise en circulation du butin, respectivement la concrétisation du bénéfice de l’infraction préalable.</w:t>
      </w:r>
    </w:p>
    <w:p>
      <w:r>
        <w:t>Il faut par ailleurs retenir la qualification de vol ordinaire et exclure la contravention. En effet, quand bien même le prix payé par le commerce de seconde main pour la montre est inférieur à la limite de CHF 300.-, une telle montre a une valeur manifestement supérieure. Le fait que le vendeur n’ait pas réussi à négocier un prix plus élevé auprès de l’acheteur ne diminue pas la valeur de l’objet, étant relevé que c’est bien le commerçant qui a fixé le prix de la transaction et que le prévenu n’affirme pas avoir déterminé lui-même la contrepartie reçue ni n’avoir dès le début escompté un prix inférieur à CHF 300.-.</w:t>
      </w:r>
    </w:p>
    <w:p>
      <w:r>
        <w:rPr>
          <w:b/>
        </w:rPr>
        <w:t>E. 3.4</w:t>
      </w:r>
    </w:p>
    <w:p>
      <w:r>
        <w:t>L’appelant conteste la réalisation de la condition subjective. La montre D______ vendue par l’appelant n’est pas un objet quelconque et de peu de valeur. Une montre de marque se vend en principe, même d’occasion, avec son écrin, son certificat d’origine ou à tout le moins sa boîte. Un tel objet justifie, sinon une facture, du moins une quittance. Il ne se remet ni ne s’offre de la main à la main. La version de l’appelant, selon laquelle la montre lui a été remise de la main à la main en remerciement par une connaissance apparaît déjà peu crédible, en raison à la fois de sa valeur élevée et de sa nature (on pense plutôt à des objets périssables tels que fleurs, vin ou chocolat pour remercier un hôte de quelques jours, en l’absence de liens ou de motifs particuliers). Par ailleurs, si réellement l’appelant avait reçu cette montre en cadeau pour sa compagne, il aurait logiquement dû la restituer au généreux donataire lorsque sa destinataire l’a refusé.</w:t>
      </w:r>
    </w:p>
    <w:p>
      <w:r>
        <w:t>- 9/16 - P/13891/2019 Ces circonstances sont encore moins vraisemblables lorsque l’appelant explique avoir reçu la montre d’un ami dont l’identité s’avère inexistante et la carte d’identité falsifiée, qu’il n’a pas été possible d’identifier et a fortiori d’auditionner. L’attestation manuscrite remise n’a aucune force probante ; au contraire, elle tend plutôt à accréditer la thèse d’une version construite pour les besoins de la cause. La particularité de ces circonstances explique d’ailleurs le faible prix perçu au moment de la vente (absence de boîte, de quittance ou d’autre justificatif) et la communication de cette acquisition à la police, comme le prescrit l’art. 7 LCOU (« le marchand d'objets usagés ou de seconde main … doit se montrer particulièrement circonspect en présence de marchandises de valeur ; il avise les services de police, lorsque la provenance d'objets lui paraît suspecte »). Les explications fournies par l’appelant sur la provenance de la montre apparaissent ainsi dénuées de toute crédibilité. Même s’il fallait y prêter foi, les circonstances déjà mentionnées dans lesquelles l’appelant aurait reçu cet objet auraient dû attirer son attention sur le caractère insolite et suspect de cette remise. L’appelant affirme ne s’être enquis de la provenance de la montre auprès de son ami à l’existence sujette à grande caution qu’après son interpellation par la police. Cette curiosité alléguée et manifestée a posteriori démontre si besoin était que l’appelant devait se douter de la provenance douteuse de la montre. Le fait que l’appelant ait fourni son identité réelle à l’acheteur ne change rien à cet état de fait. En effet, d’une part, il devait répondre à l’exigence du commerçant de justifier son identité, pour faire aboutir la transaction. Etant coutumier de ce genre d’opérations, il pouvait difficilement fournir une nouvelle identité (même si la vente de la montre semble être la seule transaction avec cet acquéreur). D’autre part, il a pris soin de donner une adresse ne correspondant pas à la sienne, espérant sans doute diriger les enquêteurs ailleurs. Au vu de ces éléments, l'appelant a clairement accepté le risque de revendre une montre issue d'une infraction et s'en est accommodé, remplissant ainsi les conditions du dol éventuel.</w:t>
      </w:r>
    </w:p>
    <w:p>
      <w:r>
        <w:t>Le verdict de culpabilité de recel doit dès lors être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- 10/16 - P/13891/2019</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4.2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4.3</w:t>
      </w:r>
    </w:p>
    <w:p>
      <w:r>
        <w:t>Les faits reprochés à l’appelant sont d’une gravité relative. Il a revendu une montre provenant d’un cambriolage, en envisageant et acceptant une telle provenance illicite. Ce faisant il a contribué à l’écoulement du butin du crime et a cherché à rendre plus difficile la restitution de son bien au lésé.</w:t>
      </w:r>
    </w:p>
    <w:p>
      <w:r>
        <w:t>- 11/16 - P/13891/2019 Ses antécédents sont nombreux et comportent plusieurs condamnations pour des infractions contre le patrimoine. Manifestement, les sanctions précédemment prononcées à l’encontre de l’appelant ne l’ont pas suffisamment dissuadé de récidiver. L’appelant a collaboré de façon exécrable, allant jusqu’à produire de faux documents à la dernière minute devant le premier juge, faisant par-là obstacle aux vérifications qui, en appel, ont permis d’établir leur falsification. Il a persisté à nier les faits. Compte tenu de ses éléments, la quotité de 60 unités pénales retenue par le premier apparaît adéquate et doit être confirmée.</w:t>
      </w:r>
    </w:p>
    <w:p>
      <w:r>
        <w:rPr>
          <w:b/>
        </w:rPr>
        <w:t>E. 4.4</w:t>
      </w:r>
    </w:p>
    <w:p>
      <w:r>
        <w:t>L’appelant ne réalise pas la condition objective du sursis, ayant été condamné à une peine privative de liberté de dix mois en mars 2017, moins de deux ans avant les faits. Il est au bénéfice de prestations d’assistance et ne réalise aucun revenu propre, mais a produit une promesse d’embauche toute récente. Ce document permet d’espérer, à relativement court terme, qu’il exerce une activité lucrative lui permettant de s’acquitter d’une peine pécuniaire et ne dépende plus de l’assistance sociale, étant relevé qu’il ne saurait lui être reproché, dans le contexte actuel, de ne pas avoir immédiatement commencé à travailler, l’établissement étant fermé sur ordre des autorités. Le prononcé et le recouvrement d’une peine pécuniaire, s’ils apparaissent difficiles, ne sont dans ce contexte pas totalement compromis. En conséquence, et quand bien même le prononcé de peines pécuniaires par le passé ne semble pas avoir suffi à convaincre l’appelant de rester dans le droit chemin, une dernière chance doit lui être accordée et une peine pécuniaire ferme devra être prononcée. Compte tenu du salaire promis à l’appelant, soit CHF 4'180.- bruts par mois, et de ses charges, le montant du jour-amende sera arrêté à CHF 60.-. L’appel doit ainsi être partiellement admis et le jugement entrepris réformé sur ce point.</w:t>
      </w:r>
    </w:p>
    <w:p>
      <w:r>
        <w:rPr>
          <w:b/>
        </w:rPr>
        <w:t>E. 5.1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- 12/16 - P/13891/2019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2e éd., Zurich 2014, n. 9 ad art. 428 ; N. SCHMID, Schweizerische Strafprozessordnung : Praxiskommentar,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2e éd., n. 21 ad art. 428).</w:t>
      </w:r>
    </w:p>
    <w:p>
      <w:r>
        <w:rPr>
          <w:b/>
        </w:rPr>
        <w:t>E. 5.2</w:t>
      </w:r>
    </w:p>
    <w:p>
      <w:r>
        <w:t>En l’espèce, l'appelant n’obtient que partiellement gain de cause, sur le type de peine et uniquement grâce à une pièce produite à la dernière minute en appel. En effet, sans la promesse d’embauche du 3 décembre 2020, le verdict du premier juge aurait été intégralement confirmé. Conformément à l’art. 428 al. 2 CPP, il sera dès lors condamné au paiement des frais de la procédure envers l'Etat.</w:t>
      </w:r>
    </w:p>
    <w:p>
      <w:r>
        <w:rPr>
          <w:b/>
        </w:rPr>
        <w:t>E. 6.1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w:t>
      </w:r>
    </w:p>
    <w:p>
      <w:r>
        <w:t>- 13/16 - P/13891/2019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p. 355).</w:t>
      </w:r>
    </w:p>
    <w:p>
      <w:r>
        <w:rPr>
          <w:b/>
        </w:rPr>
        <w:t>E. 6.2</w:t>
      </w:r>
    </w:p>
    <w:p>
      <w:r>
        <w:t>En l’espèce, la totalité des frais de la procédure d’appel étant mis à la charge de l’appelant en application de l’art. 428 al. 2 CPP, il n’y a pas lieu de lui octroyer une indemnité pour ses frais de défense, étant au surplus relevé que l’élément essentiel qui conduit à une admission partielle du recours est intervenu après que le mandat du défenseur privé de l’appelant a pris fin. Il n’a donc encouru aucune dépense pour faire valoir cet argument. L’appelant sera partant débouté de ses conclusions en indemnisation.</w:t>
      </w:r>
    </w:p>
    <w:p>
      <w:r>
        <w:t>* * * * *</w:t>
      </w:r>
    </w:p>
    <w:p>
      <w:r>
        <w:t>- 14/16 - P/13891/2019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