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AARP/79/2021 vom 16. März 2021</w:t>
      </w:r>
    </w:p>
    <w:p>
      <w:r>
        <w:t>GE Cour de justice, 2021-03-16, FR</w:t>
      </w:r>
    </w:p>
    <w:p>
      <w:r>
        <w:rPr>
          <w:b/>
        </w:rPr>
        <w:t xml:space="preserve">Quelle: </w:t>
      </w:r>
      <w:r>
        <w:t>https://mcp.opencaselaw.ch/entscheid/ge_gerichte_AARP_79_2021</w:t>
      </w:r>
    </w:p>
    <w:p>
      <w:r>
        <w:t>FR: GE_GERICHTE AARP/79/2021 du 16 mars 2021</w:t>
      </w:r>
    </w:p>
    <w:p>
      <w:r>
        <w:t>IT: GE_GERICHTE AARP/79/2021 del 16 marzo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 du Tribunal fédéral 6B_672/2019 du 6 août 2019 consid. 1.1). 2.1.2.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(ATF 143 IV 288 consid. 1.4.1 p. 290). Seules les preuves essentielles et décisives dont la force probante dépend de l'impression qu'elles donnent doivent être réitérées (arrêts du Tribunal fédéral 6B_157/2017 du 25 octobre 2017 consid. 1.1 ; 6B_177/2017 du 6 septembre 2017 consid. 2.1 ; 6B_956/2016 du 19 juillet 2017 consid. 2.1 et les références).</w:t>
      </w:r>
    </w:p>
    <w:p>
      <w:r>
        <w:t>- 7/15 - P/6977/2018 La connaissance directe d'un moyen de preuve est nécessaire, au sens de l'art. 343 al. 3 CPP,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notamment quand des déclarations constituent l'unique moyen de preuve - à défaut de tout autre indice - et qu'il existe une situation de "déclarations contre déclarations" (ATF 143 IV 288 consid. 1.4.1 p. 290 s. ; 140 IV 196 consid. 4.4.2 p. 199 s. et les références).</w:t>
      </w:r>
    </w:p>
    <w:p>
      <w:r>
        <w:rPr>
          <w:b/>
        </w:rPr>
        <w:t>E. 2.2</w:t>
      </w:r>
    </w:p>
    <w:p>
      <w:r>
        <w:t>En l'espèce, l'audition de C______ n'apparaît pas utile, dès lors qu'elle a d'ores et déjà été entendue par la police sur les circonstances de son engagement. Dans tous les cas, les auditions de la précitée et de D______, en tant qu'elles visent à établir les démarches entreprises par C______ en vue de sa régularisation et les éventuelles difficultés rencontrées, sont dénuées de pertinence sous cet angle également, de sorte qu'elles sont rejetées. 2.3.1. A teneur de l'art. 117 al. 1 LEI, quiconque, intentionnellement, emploie un étranger qui n’est pas autorisé à exercer une activité lucrative en Suisse est puni d’une peine privative de liberté d’un an au plus ou d’une peine pécuniaire. 2.3.2. L'employeur est soumis à un devoir de diligence arrêté à l'art. 91 LEI (M. S. NGUYEN / C. AMARELLE [éds], Code annoté de droit des migrations vol. II, Loi sur les étrangers, Stämpfli 2017, n. 11 ad art. 117). Selon cet article, avant d'engager un étranger, l'employeur doit s'assurer qu'il est autorisé à exercer une activité lucrative en Suisse en examinant son titre de séjour ou en se renseignant auprès des autorités compétentes. L'employeur ne peut s'exonérer de cette obligation de diligence en se réfugiant derrière une éventuelle tromperie de tiers. Il appartient à chaque employeur de procéder au contrôle. La simple omission de procéder à l'examen du titre de séjour ou de se renseigner auprès des autorités compétentes constitue déjà une violation du devoir de diligence (arrêt du Tribunal fédéral 2C_357/2009 du 16 novembre 2009 consid. 5.1 et 5.3).</w:t>
      </w:r>
    </w:p>
    <w:p>
      <w:r>
        <w:rPr>
          <w:b/>
        </w:rPr>
        <w:t>E. 2.4</w:t>
      </w:r>
    </w:p>
    <w:p>
      <w:r>
        <w:t>En l'espèce, l'appelante, qui conclut à son acquittement, ne conteste pas avoir employé C______, entre les 19 février et 30 mai 2018, alors que cette dernière, ressortissante nicaraguayenne, était démunie d'autorisation de séjour avec autorisation de travailler en Suisse durant la période concernée.</w:t>
      </w:r>
    </w:p>
    <w:p>
      <w:r>
        <w:t>En effet, la précitée n'a été mise au bénéfice d'une telle autorisation que le 6 juillet 2018, soit après l'échéance de son contrat de travail, étant précisé qu'elle n'a déposé</w:t>
      </w:r>
    </w:p>
    <w:p>
      <w:r>
        <w:t>- 8/15 - P/6977/2018 sa demande de régularisation que le 5 juin précédant, soit juste après avoir été condamnée par ordonnance pénale du 17 mai 2018.</w:t>
      </w:r>
    </w:p>
    <w:p>
      <w:r>
        <w:t>Il ressort des déclarations constantes de l'appelante et des pièces de la procédure qu'elle était parfaitement au courant de la situation de C______ au moment de l'engager, la dirigeant notamment immédiatement vers un avocat spécialisé en droit des étrangers afin de hâter la procédure administrative. C'est, en effet, la prévenue qui, le 30 janvier 2018, a rempli et signé le Formulaire M, au dos duquel il était spécifiquement stipulé que les ressortissants extra-européens n'étaient pas autorisés à travailler avant d'obtenir une autorisation, de sorte qu'elle ne peut valablement soutenir que la décision de l'OCPM du 6 juillet 2018 aurait eu un effet rétroactif. Dans tous les cas, elle était tenue de se renseigner.</w:t>
      </w:r>
    </w:p>
    <w:p>
      <w:r>
        <w:t>Ainsi, avant que C______ ne débute son activité dans le courant du mois de février 2018, l'appelante se devait de vérifier auprès de sa future employée et/ou de l'autorité compétente que cette dernière avait non seulement déposé sa demande d'autorisation de travail, ce qu'elle ne lui a confirmé qu'à la fin du mois de mai 2018 et n'a, en réalité, fait que le 5 juin suivant, mais surtout qu'elle était au bénéfice de cette autorisation. Or, il n'en est rien et la prévenue ne prétend pas le contraire.</w:t>
      </w:r>
    </w:p>
    <w:p>
      <w:r>
        <w:t>Le fait, bien que louable, d'avoir adhéré à H______ ou encore d'avoir appliqué une rémunération supérieure aux salaires minimaux dans ce secteur n'y change rien. S'estimant dans une impasse, l'appelante a préféré faire consciemment fi de la loi, ce qu'elle a admis. Or, s'il est vrai que les places disponibles dans les structures d'accueil de la petite enfance dans le canton de Genève, en particulier en cours d'année, sont rares, la prévenue, de son propre aveu, disposait de solutions alternatives licites qu'elle était tenue d'examiner avant la fin de son congé maternité, étant précisé que le délai de traitement de l'administration fut, en définitive, particulièrement court, puisque l'OCPM a mis seulement un mois pour régulariser provisoirement la situation de C______.</w:t>
      </w:r>
    </w:p>
    <w:p>
      <w:r>
        <w:t>Il découle de ce qui précède que l'appelante s'est sciemment rendue coupable d'infraction à l'art. 117 al. 1 LEI, de sorte que sa condamnation sera confirmée et son appel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- 9/15 - P/6977/2018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3.1.2. Selon l'art. 52 CP, si la culpabilité de l'auteur et les conséquences de son acte - conditions cumulatives - sont peu importantes, l'autorité compétente renonce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Pour apprécier la culpabilité de l'auteur, il faut tenir compte de tous les éléments pertinents pour la fixation de la peine, notamment des circonstances personnelles de l'auteur, tels que les antécédents, la situation personnelle ou le comportement de l'auteur après l'infraction. Si les conditions indiquées à l'art. 52 CP sont réunies, l'exemption par le juge est de nature impérative (ATF 135 IV 130 consid. 5).</w:t>
      </w:r>
    </w:p>
    <w:p>
      <w:r>
        <w:rPr>
          <w:b/>
        </w:rPr>
        <w:t>E. 3.2</w:t>
      </w:r>
    </w:p>
    <w:p>
      <w:r>
        <w:t>En l'espèce, la faute de l'appelante, qui a violé son devoir de diligence, n'est pas insignifiante, mais sa gravité doit néanmoins être relativisée. En effet, C______, qu'elle n'a employé que durant un peu plus de trois mois, a finalement obtenu les autorisations nécessaires à l'exercice d'une activité lucrative et au séjour en Suisse. Elle n'a, par ailleurs, pas cherché à tirer avantage de la situation, dès lors qu'elle s'est acquittée de ses charges sociales et l'a correctement rémunérée, allant même jusqu'à la soutenir dans ses démarches de régularisation. Enfin, l'opération Papyrus, en cours au moment des faits, dont C______ n'a, au final, pas pu bénéficier en raison, vraisemblablement, d'agissements pénaux de son époux, pouvait susciter une certaine confusion chez l'appelante.</w:t>
      </w:r>
    </w:p>
    <w:p>
      <w:r>
        <w:t>- 10/15 - P/6977/2018</w:t>
      </w:r>
    </w:p>
    <w:p>
      <w:r>
        <w:t>Compte tenu de ce qui précède, l'appelante peut être mise au bénéfice de l'art. 52 CP, essentiellement en raison du fait qu'elle n'a pas cherché à nuire à C______ ni à l'ordre public, stipulant par ailleurs qu'elle n'agirait plus de la sorte à l'avenir. L'appelante doit donc être reconnue coupable d'infraction à l'art. 117 al. 1 LEI, mais il sera renoncé au prononcé d'une peine. Le jugement querellé sera réformé dans ce sens. La présente condamnation ne figurera donc pas au casier judiciaire (art. 366 al. 2 lit. a CP a contrario).</w:t>
      </w:r>
    </w:p>
    <w:p>
      <w:r>
        <w:rPr>
          <w:b/>
        </w:rPr>
        <w:t>E. 4</w:t>
      </w:r>
    </w:p>
    <w:p>
      <w:r>
        <w:t>4.1.1. A teneur de l'art. 426 al. 1 CPP, le prévenu supporte les frais de procédure s’il est condamné. Lorsque le prévenu fait l'objet d'une ordonnance de classement, tout ou partie des frais de la procédure peuvent être mis à sa charge s'il en a, de manière illicite et fautive, provoqué l'ouverture ou rendu la conduite plus difficile (art. 426 al. 2 CPP). Les art. 52 à 54 CP reposent sur la prémisse selon laquelle l’auteur a commis un acte illicite. A cet égard, le ministère public et les tribunaux, au stade de la procédure préliminaire, rendent, le cas échéant, une ordonnance de non-entrée en matière ou de classement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sur la base de l'art. 426 al. 2 CPP, s’avère en tous les cas justifiée (ATF 144 IV 202 consid. 2.3). Par contre, au stade de la procédure de jugement, dans l’une des hypothèses prévues aux art. 52 à 54 CP, le tribunal doit statuer sur l’accusation et, en cas de déclaration de culpabilité, renoncer à une condamnation. Dans ces cas-là, l’exemption de peine est assimilée à une condamnation (ATF 139 IV 220 consid. 3.4 = JdT 2014 IV 94 ; L. MOREILLON / A. PAREIN-REYMOND, Petit commentaire du Code de procédure pénale, 2ème éd. 2016, n. 4 ad art. 426 et les références) et les frais de procédure sont en principe mis à la charge du prévenu, en application de l'art. 426 al. 1 CPP (A. KUHN / Y. JEANNERET [éds], Commentaire romand : Code de procédure pénale suisse, 2ème éd., Bâle 2019, n. 3 ad art. 426). 4.1.2.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6B_620/2016 du 17 mai 2017 consid. 2.1.2 ; 6B_136/2016 du 23 janvier 2017 consid. 4.1.2).</w:t>
      </w:r>
    </w:p>
    <w:p>
      <w:r>
        <w:t>- 11/15 - P/6977/2018 Si l'autorité de recours rend elle-même une nouvelle décision, elle se prononce également sur les frais fixés par l'autorité inférieure (art. 428 al. 3 CPP). 4.2.1. Les frais de la procédure de première instance, sur lesquels la CPAR est tenue de statuer à nouveau, seront mis à la charge de la prévenue, dès lors qu'elle est reconnue coupable des faits qui lui sont reprochés (art. 428 al. 3 et 426 al. 1 CPP). 4.2.2. En appel, succombant sur le plan de la culpabilité et n'obtenant gain de cause que sur celui de la peine, la prévenue sera condamnée aux deux tiers des frais de la procédure envers l'Etat, qui comprendront un émolument de décision de CHF 1'000.- (art. 428 CPP et art. 14 al. 1 let. e du règlement fixant le tarif des frais en matière pénale [RTFMP]).</w:t>
      </w:r>
    </w:p>
    <w:p>
      <w:r>
        <w:rPr>
          <w:b/>
        </w:rPr>
        <w:t>E. 5.1</w:t>
      </w:r>
    </w:p>
    <w:p>
      <w:r>
        <w:t>Si le prévenu est acquitté totalement ou en partie, s'il bénéficie d'une ordonnance de classement, il a droit à une indemnité pour les dépenses occasionnées par l'exercice raisonnable de ses droits de procédure (art. 429 al. 1 let. a CPP). Cette disposition s'applique aux voies de recours (y inclus l'appel) en vertu de l'art. 436 al. 1 CPP (ATF 138 IV 205 consid. 1 ; arrêt du Tribunal fédéral 6B_74/2017 du 21 avril 2017 consid. 2.1).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L’exemption de toute peine, ne constitue pas un cas d’acquittement, mais uniquement la renonciation à sanctionner (ATF 135 IV 27). Elle ne peut ainsi donner lieu à une indemnisation (arrêt du Tribunal fédéral 6B_119/2015 du 13 juin 2016 consid. 2 ; A. KUHN / Y. JEANNERET [éds], op. cit., n. 3 ad art. 429). 5.2.1. En l'espèce, l'appelante sera déboutée de ses conclusions en indemnisation de ses frais de défense pour la procédure de première instance, dans la mesure où, reconnue coupable, elle a été condamnée aux frais de procédure y relatifs (voir supra ch. 4.2.1). 5.2.2. Obtenant partiellement gain de cause en seconde instance, elle sera par contre indemnisée de ses frais de défense à hauteur d'un tiers, soit dans une proportion identique à celle des frais laissés à la charge de l'Etat (voir supra ch. 4.2.2). En tant qu'elle concerne la procédure d'appel, l'activité de son avocat doit être arrêtée à 9h00, durée des débats d'appel comprise, ce qui représente, sur la base du tarif</w:t>
      </w:r>
    </w:p>
    <w:p>
      <w:r>
        <w:t>- 12/15 - P/6977/2018 horaire de CHF 400.- conforme à la jurisprudence cantonale, et TVA comprise, des honoraires de CHF 3'877.20 (CHF 400.- × 9 heures + TVA de 7.7%). L'indemnité due à l'intimée sera ainsi arrêtée à CHF 1'292.40 (CHF 3'877.20 / 3). Conformément à l'art. 442 al. 4 CPP, cette indemnité sera compensée jusqu'à due concurrence avec les frais mis à sa charge. * * * * *</w:t>
      </w:r>
    </w:p>
    <w:p>
      <w:r>
        <w:t>- 13/15 - P/6977/2018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