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AARP/79/2020 vom 19. Februar 2020</w:t>
      </w:r>
    </w:p>
    <w:p>
      <w:r>
        <w:t>GE Cour de justice, 2020-02-19, FR</w:t>
      </w:r>
    </w:p>
    <w:p>
      <w:r>
        <w:rPr>
          <w:b/>
        </w:rPr>
        <w:t xml:space="preserve">Quelle: </w:t>
      </w:r>
      <w:r>
        <w:t>https://mcp.opencaselaw.ch/entscheid/ge_gerichte_AARP_79_2020</w:t>
      </w:r>
    </w:p>
    <w:p>
      <w:r>
        <w:t>FR: GE_GERICHTE AARP/79/2020 du 19 février 2020</w:t>
      </w:r>
    </w:p>
    <w:p>
      <w:r>
        <w:t>IT: GE_GERICHTE AARP/79/2020 del 19 febbraio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w:t>
      </w:r>
    </w:p>
    <w:p>
      <w:r>
        <w:t>- 9/20 - P/7817/2019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2.1.2. L'art. 19 al. 1 LStup punit d'une peine privative de liberté de trois ans au plus ou d'une peine pécuniaire, notamment celui qui, sans droit, entrepose, expédie, transporte, importe, exporte des stupéfiants ou les passe en transit (let. b) et celui qui, sans droit, possède, détient ou acquiert des stupéfiants ou s'en procure de toute autre manière (let. d).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w:t>
      </w:r>
    </w:p>
    <w:p>
      <w:r>
        <w:t>- 10/20 - P/7817/2019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2.1.3. Selon l'art. 291 CP, celui qui aura contrevenu à une décision d'expulsion du territoire de la Confédération ou d'un canton prononcée par une autorité compétente sera puni d'une peine privative de liberté de trois ans au plus ou d'une peine pécuniaire.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2e éd., Bâle, 2017, n. 11 et 12 ad art. 291 et références citées). 2.1.4. 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w:t>
      </w:r>
    </w:p>
    <w:p>
      <w:r>
        <w:t>- 11/20 - P/7817/2019 en droit d'agir est "suffisante"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2.2.1. En l'espèce, il est établi et non contesté que l'appelant a pris possession, détenu et transporté de I______ (FRA) à Genève une quantité de 351.6 gr de cocaïne d'un taux de pureté moyen de 72.9% préalablement dissimulée dans son anus. L'appelant nie avoir transporté et détenu de la MDEA+. Il persiste à soutenir que le sachet retrouvé sur lui lors de sa dernière interpellation contenait une poudre cosmétique achetée dans un magasin d'alimentation en Espagne et conditionnée dans un petit sachet pour voyager. Ses déclarations quant à son utilisation ont varié. Tantôt a-t-il expliqué l'utiliser comme talc lorsqu'il transpirait du visage, tantôt s'en servait-il pour se raser. Il avait conditionné cette poudre dans un petit sachet car cela était plus pratique pour voyager. Inconstantes et invraisemblables, ces explications ne convainquent par la Cour. L'analyse de cette substance s'est révélée positive à la MDEA+, psychotrope dérivé des amphétamines qui n'a aucune raison de se retrouver dans un produit cosmétique vendu librement dans un commerce. Le type de sachet en plastique la contenant est par ailleurs usuellement utilisé pour la vente au détail de stupéfiants et seule une infime quantité, insuffisante pour les utilisations évoquées par lui, a été retrouvée sur l'appelant. Ces éléments ainsi que les antécédents de l'appelant en matière de stupéfiants emportent la certitude de la Cour quant à sa culpabilité. Ainsi, il sera retenu que l'appelant a détenu sans droit et en toute connaissance de cause de la MDEA+ et le jugement entrepris sera dès lors confirmé sur ce point. 2.2.2. Il n'est pas contesté que le 11 novembre 2018 l'appelant se trouvait sur le territoire suisse alors qu'il faisait l'objet d'une décision d'expulsion judiciaire définitive et exécutoire. Il se prévaut d'une erreur sur l'illicéité pour justifier sa présence en Suisse ce jour-là. La Cour ne saurait suivre ces explications. Il ressort en effet du dossier que l'appelant a par le passé été condamné à quatre reprises depuis 2013 pour des infractions à la loi sur les étrangers et qu'à la suite de la dernière décision rendue, il a été expulsé en Espagne. Or, il ne fait aucun doute que dans ces circonstances, ou à tout le moins lors de la procédure ayant donné lieu à son expulsion durant laquelle il a été assisté d'un avocat, il s'est vu expliquer les conséquences de cette mesure. Du reste, il n'est pas nécessaire de bénéficier de connaissances juridiques particulières pour savoir qu'une expulsion, prononcée par un tribunal dans le cadre d'une procédure ouverte notamment pour infraction grave à la loi sur les stupéfiants, n'a pas pour vocation d'interdire à l'individu condamné de</w:t>
      </w:r>
    </w:p>
    <w:p>
      <w:r>
        <w:t>- 12/20 - P/7817/2019 s'établir en Suisse, mais celle de le tenir éloigné du territoire afin de protéger la société de ses actes délictueux. Il sera encore relevé que même après avoir affirmé avoir compris la portée de l'expulsion devant la police en novembre 2018, l'appelant n'a pas hésité à entrer à nouveau en Suisse, de surcroît en possession d'une importante quantité de drogue dure, ce qui démontre sa propension à violer cette interdiction en toute connaissance de cause. Partant, la culpabilité de l'appelant s'agissant de la rupture de ban du 11 novembre 2018 sera également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3.1.2. En matière de trafic de stupéfiants, il y a lieu de tenir compte, plus spécialement, des circonstances suivantes. Même si la quantité de la drogue ne joue pas un rôle prépondérant, elle constitue sans conteste un élément important. Elle perd cependant de l'importance au fur et à mesure que l'on s'éloigne de la limite à partir de</w:t>
      </w:r>
    </w:p>
    <w:p>
      <w:r>
        <w:t>- 13/20 - P/7817/2019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3.1.3. Bien que la récidive ne constitue plus un motif d'aggravation obligatoire de la peine (art. 67 aCP), les antécédents continuent de jouer un rôle très important dans la fixation de celle-ci (M. NIGGLI / H. WIPRÄCHTIGER [éds], Basler Kommentar</w:t>
      </w:r>
    </w:p>
    <w:p>
      <w:r>
        <w:t>- 14/20 - P/7817/2019 Strafrecht I : Art. 1-110 StGB, Jugendstrafgesetz, 3ème éd.,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2009, n. 55 ad art. 47 CP). Une série d'infractions semblables pèse plus lourd que des actes de nature différente. Les condamnations passées perdent de leur importance avec l'écoulement du temps (ATF 135 IV 87 consid. 2 p. 89).</w:t>
      </w:r>
    </w:p>
    <w:p>
      <w:r>
        <w:rPr>
          <w:b/>
        </w:rPr>
        <w:t>E. 3.2</w:t>
      </w:r>
    </w:p>
    <w:p>
      <w:r>
        <w:t>Selon l'art. 48 lit.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lit.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w:t>
      </w:r>
    </w:p>
    <w:p>
      <w:r>
        <w:rPr>
          <w:b/>
        </w:rPr>
        <w:t>E. 3.3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t>- 15/20 - P/7817/2019</w:t>
      </w:r>
    </w:p>
    <w:p>
      <w:r>
        <w:rPr>
          <w:b/>
        </w:rPr>
        <w:t>E. 3.4</w:t>
      </w:r>
    </w:p>
    <w:p>
      <w:r>
        <w:t>En l'espèce, la faute de l'appelant est importante. Il a pris part à un trafic de cocaïne, drogue dure, entre la France et la Suisse, ce qui permet de le qualifier d'international quand bien même son interpellation a eu lieu à proximité de la frontière. L'appelant n'est pas crédible lorsqu'il affirme que la livraison devait s'effectuer en France. Si tel avait été le cas, la prise de risque que représentait la traversée de la frontière pour un motif aussi futile que celui de se rendre dans un magasin de tabac pour acheter du thé froid paraîtrait difficilement compréhensible. Bien que le rôle de l'appelant ait été celui d'un simple passeur et que sa rémunération ait été faible, ce trafic a tout-de-même porté sur une quantité de drogue pure dépassant le cas grave de l'art. 19 al. 2 let. a LStup, dès lors propre à mettre en danger la santé de nombreuses personnes. Conscient de transporter environ 350 gr. de cocaïne, il ne pouvait guère ignorer sa dangerosité à l'égard de la santé publique, cette quantité ne pouvant constituer qu'un cas grave sauf à présenter un taux de pureté inférieur à 5%. L'appelant est en outre entré à deux reprises sur le territoire suisse alors qu'il se savait sous le coup d'une expulsion judiciaire depuis sa dernière condamnation. Sa situation personnelle, bien que ne pouvant pas être qualifiée de bonne, ne peut justifier ses agissements. La Cour écarte ses explications au sujet du kidnapping de son frère, non crédibles et fluctuantes. En particulier, il est totalement invraisemblable que l'appelant se soit rendu à G______ (FRA) dans l'espoir d'obtenir du financement d'un inconnu, connaissance de son ami dont il s'est bien gardé de donner l'identité et l'adresse, alors que, ayant eu deux emplois en Espagne rémunérés entre EUR 500.- et EUR 1'200.- par mois, il eut pu acquérir un billet d'avion pour le Nigeria ou envoyer une partie de la rançon à hauteur du même montant d'EUR 700.- qu'il devait retirer du transport de stupéfiants. Ses explications sont d'autant moins crédibles qu'il a demandé l'autorisation d'appeler son frère N______ depuis la prison, ce qui démontre qu'il ne le pensait pas enlevé. D'ailleurs, en appel, il a encore modifié ses propos, reconnaissant désormais que le kidnapping n'en était pas un pour se prétendre trompé par son autre frère. Loin d'appuyer son récit, l'attestation de la police nigériane produite en première instance, datée à la main et sur laquelle les adresses officielles de la police sont substituées par des adresses mail "R______" et "S______", renforce au contraire son invraisemblance. La Cour retiendra dès lors que l'appelant a agi par pur appât du gain, faisant fi de la santé des consommateurs, au mépris total des règles en vigueur dans l'ordre juridique suisse et sans considération pour les décisions précédemment rendues à son encontre par les autorités. La collaboration de l'appelant, contrairement à ce qu'il avance, n'a pas été moyenne, mais simplement sans particularité. Il n'a admis que les faits qu'il ne pouvait contester et a minimisé son implication</w:t>
      </w:r>
    </w:p>
    <w:p>
      <w:r>
        <w:t>- 16/20 - P/7817/2019 Sa prise de conscience est inexistante. Il ne réalise pas la gravité de ses actes, se concentrant sur le danger qu'il avait lui-même encouru pour sa santé et sa vie en transportant de la sorte une quantité aussi importante de drogue. Par ailleurs, il persiste dans ses comportements illégaux en dépit des condamnations prononcées antérieurement pour des infractions similaires à raison d'une fois par année environ depuis 2012. Il n'a pas saisi les chances qui lui ont été données par la justice jusqu'à ce jour et se montre imperméable à la sanction pénale, les trois peines privatives de liberté déjà ordonnées à son encontre, cumulant plus de deux ans, ne l'ayant manifestement pas dissuadé de récidiver. Seule une peine privative entre en ligne de compte, ce que l'appelant ne conteste pas. Il y a concours entre les infractions à la LStup (art. 19 al. 1 let. b et d et al. 2 let. a LStup) et celles de rupture de ban (art. 291 al. 1 CP). Ces infractions sont toutes sanctionnées d'une peine privative de liberté de trois ans au plus ou d'une peine pécuniaire, la peine privative de liberté devant toutefois au minimum être d'un an en ce qui concerne l'infraction grave à la LStup. Les actes abstraitement les plus graves au sens de l'art. 49 al. 1 CP sont ceux qualifiés de crime à cette loi. Aussi, la Cour juge appropriée une peine privative de liberté de 30 mois en relation avec cette infraction. A cette peine s'ajouteront six mois afin de tenir compte du concours avec les autres infractions. La peine de trois ans fixée par les premiers juges, adéquate et proportionnée, sera dès lors confirmée et l'appel rejeté sur ce point également.</w:t>
      </w:r>
    </w:p>
    <w:p>
      <w:r>
        <w:rPr>
          <w:b/>
        </w:rPr>
        <w:t>E. 4</w:t>
      </w:r>
    </w:p>
    <w:p>
      <w:r>
        <w:t>L'appelant, qui succombe, supportera les frais de la procédure envers l'État, en CHF 2'765.-, comprenant un émolument de jugement de CHF 2'500.- (art. 428 CPP).</w:t>
      </w:r>
    </w:p>
    <w:p>
      <w:r>
        <w:rPr>
          <w:b/>
        </w:rPr>
        <w:t>E. 5</w:t>
      </w:r>
    </w:p>
    <w:p>
      <w:r>
        <w:t>5.1.1. Selon l'art. 135 al. 1 CPP, le défenseur d'office ou le conseil juridique gratuit (cf. art. 138 al. 1 CPP) est indemnisé conformément au tarif des avocats du canton du for du procès. L'art. 16 du règlement sur l'assistance juridique du 28 juillet 2010 (RAJ-E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5.1.2.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5.1.3.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w:t>
      </w:r>
    </w:p>
    <w:p>
      <w:r>
        <w:t>- 17/20 - P/7817/2019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5.1.4.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5.1.5.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5.2</w:t>
      </w:r>
    </w:p>
    <w:p>
      <w:r>
        <w:t>En l’occurrence, l’état de frais produit par le conseil de l’appelant paraît globalement adéquat et conforme aux dispositions et principes qui précèdent, de sorte qu’il sera admis sans qu'il ne soit nécessaire d'en reprendre le détail, étant précisé que le temps consacré à l'audience sera indemnisé à hauteur d'1 heure et 45 minutes en lieu et place des 90 minutes estimées.</w:t>
      </w:r>
    </w:p>
    <w:p>
      <w:r>
        <w:t>En conclusion, l'indemnité sera arrêtée à CHF 3'365.60 correspondant à 13 heures et 45 minutes d'activité au tarif de CHF 200.-/heure (CHF 2'750.-) plus la majoration forfaitaire de 10% (CHF 275.-) ainsi que le déplacement à l'audience d'appel (CHF 100.-). et l'équivalent de la TVA au taux de 7.7% (CHF 240.60). * * * * *</w:t>
      </w:r>
    </w:p>
    <w:p>
      <w:r>
        <w:t>- 18/20 - P/7817/2019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