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AARP/78/2022 vom 17. März 2022</w:t>
      </w:r>
    </w:p>
    <w:p>
      <w:r>
        <w:t>GE Cour de justice, 2022-03-17, FR</w:t>
      </w:r>
    </w:p>
    <w:p>
      <w:r>
        <w:rPr>
          <w:b/>
        </w:rPr>
        <w:t xml:space="preserve">Quelle: </w:t>
      </w:r>
      <w:r>
        <w:t>https://mcp.opencaselaw.ch/entscheid/ge_gerichte_AARP_78_2022</w:t>
      </w:r>
    </w:p>
    <w:p>
      <w:r>
        <w:t>FR: GE_GERICHTE AARP/78/2022 du 17 mars 2022</w:t>
      </w:r>
    </w:p>
    <w:p>
      <w:r>
        <w:t>IT: GE_GERICHTE AARP/78/2022 del 17 marzo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180 al. 1 CP, celui qui, par une menace grave, aura alarmé ou effrayé une personne sera, sur plainte, puni d'une peine privative de liberté de trois ans au plus ou d'une peine pécuniaire.</w:t>
      </w:r>
    </w:p>
    <w:p>
      <w:r>
        <w:t>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p. 100).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(arrêt du Tribunal fédéral 6B_1428/2016 du 3 octobre 2017 consid. 2.1 et les références). Les menaces de lésions corporelles graves ou de mort doivent en revanche être considérées comme des menaces graves au sens de l'art. 180 CP (arrêts du Tribunal fédéral 6B_787/2018 du 1er octobre 2018 consid. 3.1 ; 6B_1428/2016 du 3 octobre 2017 consid. 2.1 et la référence).</w:t>
      </w:r>
    </w:p>
    <w:p>
      <w:r>
        <w:t>- 6/14 - P/13992/2021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p. 215). Peu importe que les menaces aient été rapportées de manière indirecte à la victime (arrêts du Tribunal fédéral 6B_578/2016 du 19 août 2016 consid. 2.1 ; 6B_871/2014 du 24 août 2015 consid. 2.2.2; 6B_820/2011 du 5 mars 2012 consid. 3). Subjectivement, l'auteur doit avoir l'intention non seulement de proférer des menaces graves, mais aussi d'alarmer ou d'effrayer le destinataire. Le dol éventuel suffit (arrêts du Tribunal fédéral 6B_787/2018 du 1er octobre 2018 consid. 3.1 ; 6B_1009/2014 du 2 avril 2015 consid. 3.1 ; 6B_598/2011 du 27 juillet 2012 consid. 1.1).</w:t>
      </w:r>
    </w:p>
    <w:p>
      <w:r>
        <w:rPr>
          <w:b/>
        </w:rPr>
        <w:t>E. 2.2</w:t>
      </w:r>
    </w:p>
    <w:p>
      <w:r>
        <w:t>En l’espèce, l’appelant a été accueilli chez la partie plaignante pour y passer la nuit et a ensuite refusé de quitter l’appartement. A raison, l’appelant ne conteste plus sa condamnation pour violation de domicile, les faits et notamment la nécessité d’une intervention policière pour lui faire quitter les lieux démontrant la réalisation de cette infraction. Il n’en va pas différemment de l’infraction de menaces. En effet, sur le plan objectif, le fait de menacer de bouter le feu à un appartement constitue indubitablement une menace grave, par l’importance du dommage potentiel et la gravité objective d’un incendie, qui constitue d’ailleurs l’une des infractions pénales les plus graves (cf. art. 221 CP). Sur le plan subjectif, il ressort des SMS versés à la procédure que la partie plaignante a bien compris cette menace comme portant sur des faits graves, au point de demander l’aide de son colocataire pour en prévenir la réalisation. Le fait que les SMS en cause soient entrecoupés de SMS relatifs à des achats de bières ou de cigarettes n’enlève rien à l’urgence des demandes d’aide, soulignée par l’utilisation de nombreux points d’exclamation et les termes utilisés (« stp venez très vite », « Vite stp, ça va partir en couilles »). On peut au contraire comprendre les messages mis en évidence par l’appelant comme accentuant l’urgence de la situation, dans la mesure où la partie plaignante y dit clairement à son interlocuteur que les achats évoqués doivent attendre la résolution du problème plus urgent que posaient les menaces de l’appelant. Le fait que ce soit ce colocataire, et non le plaignant, qui ait appelé les secours ne change en rien cette appréciation. En effet, il ressort des constatations des policiers que le lésé attendait leur arrivée à l’extérieur de son appartement, ce qui confirme si besoin était qu’il s’était associé à l’appel effectué à leurs services. Si l’appelant n’a effectivement pas opposé de résistance une fois les forces de l’ordre présente, il n’en</w:t>
      </w:r>
    </w:p>
    <w:p>
      <w:r>
        <w:t>- 7/14 - P/13992/2021 demeure pas moins que celles-ci se sont déplacées en nombre (quatre policiers) pour intervenir, ce qui confirme au surplus que la demande du plaignant avait été prise au sérieux. Il importe peu que ce soit le colocataire ou le plaignant qui ait fait état, lors de l’appel, de menaces proférées par l’appelant, puisqu’il ressort de la procédure que le plaignant avait informé son colocataire de ces menaces. En revanche, le fait que celles-ci soient mentionnées dans cet appel téléphonique confirme qu’elles ont bien été perçues comme telles par les protagonistes. D’éventuelles variations dans les déclarations du plaignant n’y changent rien. Enfin, l’appelant ne soutient pas ne pas avoir eu l’intention d’alarmer la partie plaignante par ses propos. La menace d’incendier un appartement est en tout état de cause suffisamment précise pour que celui qui la profère alors qu’il se trouve sur place, dans un contexte de litige au sujet de cet appartement, ne puisse que se rendre compte qu’elle est de nature à susciter une crainte fondée chez son destinataire. Le verdict de culpabilité pour menaces doit ainsi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w:t>
      </w:r>
    </w:p>
    <w:p>
      <w:r>
        <w:t>- 8/14 - P/13992/2021</w:t>
      </w:r>
    </w:p>
    <w:p>
      <w:r>
        <w:rPr>
          <w:b/>
        </w:rPr>
        <w:t>E. 3.3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- 9/14 - P/13992/2021 3.5.1. En l’espèce, la faute de l’appelant est sérieuse. Il s'en est pris à la liberté d’une personne qui lui avait tendu la main pour l’aider en lui offrant passagèrement un toit. Il persiste à séjourner en Suisse depuis de nombreuses années, sans disposer des autorisations nécessaires et alors qu’il a fait l’objet de nombreuses condamnations pour violation de la loi sur les étrangers. Tandis que son expulsion du territoire a été ordonnée le 2 août 2017 et le 28 mai 2019, il a sciemment continué à demeurer en Suisse en toute illégalité, sans collaborer aux mesures prises pour mettre ces décisions à exécution, malgré ses professions contraires aux autorités pénales. Ses mobiles sont égoïstes et résident dans son intérêt à demeurer par tous les moyens en Suisse et y séjourner, nonobstant son absence totale de liens, de ressources et de perspectives dans ce pays. Sa collaboration est médiocre et il n’a fait montre d’aucune prise de conscience, puisque s’il affirme souhaiter quitter la Suisse il ne démontre pas la moindre démarche concrète entreprise en ce sens et qu’il persiste à minimiser les faits commis au préjudice du plaignant. Sa situation précaire peut expliquer partiellement ses actes sans toutefois les justifier, puisqu'elle résulte en grande partie de sa persistance à vivre en marge et dans l’illégalité, sans aucune perspective de pouvoir régulariser sa situation. Ses nombreux antécédents sont pour la plupart spécifiques. Ces multiples condamnations, notamment à des peines privatives de liberté, n’ont manifestement pas suffi à le dissuader de récidiver, ce qui démontre une forte imperméabilité à la sanction pénale. Les biens juridiques protégés sont divers. D’une part, l’appelant se moque de l'autorité publique, bien dont l’importance ne saurait être sous-estimé, pas davantage que le préjudice causé à la collectivité, y compris sur le plan matériel, par un tel comportement qui mobilise de nombreux acteurs appelés à le réprimer. D’autre part, il s’en est pris à la liberté individuelle d’une personne qui se trouvait elle-même dans une position peu enviable et de faiblesse, dont l’appelant n’a pas hésité à profiter. 3.5.2. À raison, l’appelant ne conteste pas le genre de peine retenu par le premier juge. En effet, au vu de sa situation personnelle obérée et de ses très nombreux antécédents, le prononcé d’une peine pécuniaire n’entre pas en ligne de compte. Les infractions commises par l’appelant sont toutes passibles d’une peine privative de liberté de trois ans au plus ou d’une peine pécuniaire. L’infraction objectivement la plus grave est la rupture de ban (art. 291 CP), dans la mesure où c’est la seule poursuivie d’office. Pour cette infraction, l’appelant encourt une peine de base de dix mois. Cette peine doit être aggravée de deux mois (peine théorique : trois mois) pour la violation de domicile et de trois mois (peine théorique : quatre mois) pour les menaces, compte tenu de leur gravité objective.</w:t>
      </w:r>
    </w:p>
    <w:p>
      <w:r>
        <w:t>- 10/14 - P/13992/2021 La peine d’ensemble de 14 mois prononcée par le premier juge apparaît dès lors clémente. La Cour de céans, liée par l’interdiction de la reformatio in peius (art. 391 al. 2 CPP), ne peut toutefois pas la revoir au détriment de l’appelant. Cette peine doit dès lors être intégralement confirmée.</w:t>
      </w:r>
    </w:p>
    <w:p>
      <w:r>
        <w:rPr>
          <w:b/>
        </w:rPr>
        <w:t>E. 4</w:t>
      </w:r>
    </w:p>
    <w:p>
      <w:r>
        <w:t>Les motifs ayant conduit le premier juge à prononcer, par ordonnance séparée du 14 octobre 2022,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envers l'Etat (art. 428 CPP).</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w:t>
      </w:r>
    </w:p>
    <w:p>
      <w:r>
        <w:t>- 11/14 - P/13992/2021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l’activité facturée pour la procédure d’appel s’avère exagérée. En effet, l’étude du dossier – connu pour avoir été suivi dès le début de l’instruction et plaidé en première instance – et la rédaction du mémoire d’appel (10 pages y- compris page de garde et conclusions) ne justifient pas plus de cinq heures de travail.</w:t>
      </w:r>
    </w:p>
    <w:p>
      <w:r>
        <w:t>En conclusion, la rémunération sera arrêtée à CHF 1'560.- correspondant à 6h30 heures d'activité au tarif de CHF 200.-/heure plus la majoration forfaitaire de 20%. * * * * *</w:t>
      </w:r>
    </w:p>
    <w:p>
      <w:r>
        <w:t>- 12/14 - P/13992/2021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