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AARP/78/2021 vom 16. März 2021</w:t>
      </w:r>
    </w:p>
    <w:p>
      <w:r>
        <w:t>GE Cour de justice, 2021-03-16, FR</w:t>
      </w:r>
    </w:p>
    <w:p>
      <w:r>
        <w:rPr>
          <w:b/>
        </w:rPr>
        <w:t xml:space="preserve">Quelle: </w:t>
      </w:r>
      <w:r>
        <w:t>https://mcp.opencaselaw.ch/entscheid/ge_gerichte_AARP_78_2021</w:t>
      </w:r>
    </w:p>
    <w:p>
      <w:r>
        <w:t>FR: GE_GERICHTE AARP/78/2021 du 16 mars 2021</w:t>
      </w:r>
    </w:p>
    <w:p>
      <w:r>
        <w:t>IT: GE_GERICHTE AARP/78/2021 del 16 marzo 2021</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 103 IV 73 consid. 1) et par les constatations de fait qui n'ont pas été attaquées devant lui ou l'ont été sans succès (ATF 143 IV 214 consid. 5.2.1 ; 131 III 91 consid. 5.2). Il n'est pas possible de remettre en cause ce qui a été admis, même implicitement, par le Tribunal fédéral. L'examen juridique se</w:t>
      </w:r>
    </w:p>
    <w:p>
      <w:r>
        <w:t>- 5/15 - P/23787/2017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Selon les considérants de l'arrêt de renvoi, la saisine de la CPAR est circonscrite soit à l'exposé des motifs pour lesquels les faits retenus par le TP auraient été établis de manière manifestement inexacte ou en violation du droit, soit à la détermination du caractère justifié et proportionné de la défense.</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6B_360/2017 du</w:t>
      </w:r>
    </w:p>
    <w:p>
      <w:r>
        <w:t>- 6/15 - P/23787/2017 9 octobre 2017 consid. 1.3 et les références). En outre, aucune allégation ou preuve nouvelle ne peut être produite devant l'instance d'appel (art. 398 al. 4, 2ème phrase CPP). Il s'agit là d'une exception au principe du plein pouvoir de cognition de l'autorité de deuxième instance qui conduit à qualifier d'appel "restreint" cette voie de droit (arrêt du Tribunal fédéral 1B_768/2012 du 15 janvier 2013 consid. 2.1).</w:t>
      </w:r>
    </w:p>
    <w:p>
      <w:r>
        <w:rPr>
          <w:b/>
        </w:rPr>
        <w:t>E. 2.3</w:t>
      </w:r>
    </w:p>
    <w:p>
      <w:r>
        <w:t>Les voies de fait, contravention réprimée par l'art. 126 CP et punissable de l'amende, se définissent comme des atteintes physiques qui excèdent ce qui est socialement toléré et qui ne causent ni lésions corporelles, ni dommage à la santé. Une telle atteinte peut exister même si elle n'a causé aucune douleur physique (ATF 119 IV 25 consid. 2a p. 26 ; 117 IV 14 consid. 2a p. 15 ss).</w:t>
      </w:r>
    </w:p>
    <w:p>
      <w:r>
        <w:rPr>
          <w:b/>
        </w:rPr>
        <w:t>E. 2.4</w:t>
      </w:r>
    </w:p>
    <w:p>
      <w:r>
        <w:t>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104 IV 232 consid. c p. 236 s.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p. 51 ; 102 IV 65 consid. 2a p. 68 ; 101 IV 119 p. 120). La proportionnalité des moyens de défense se détermine d'après la situation de celui qui voulait repousser l'attaque au moment où il</w:t>
      </w:r>
    </w:p>
    <w:p>
      <w:r>
        <w:t>- 7/15 - P/23787/2017 a agi (ATF 136 IV 49 consid. 3.2 p. 51). Il convient également de prendre en compte ses capacités individuelles. Le moyen de défense employé doit être le moins dommageable possible pour l'assaillant, tout en devant permettre d'écarter efficacement le danger (ATF 136 IV 49 consid. 4.2 p. 53 ; 107 IV 12 consid. 3b p. 15). Doivent aussi être pris en considération les effets de l'acte de défense et l'état dans lequel se trouvait celui qui s'est défendu au moment des faits (ATF 99 IV 187 p. 189).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107 IV 12 consid. 3 p. 15 ; 102 IV 65 consid. 2a p. 68 ; arrêts du Tribunal fédéral 6B_130/2017 du 27 février 2018 consid. 3.1 et les références = SJ 2018 I 385 ; 6B_6/2017 du 28 février 2018 consid. 4.1). La loi précise que l’auteur doit être attaqué (ou menacé) de manière contraire au droit, ce qui présuppose qu’il n’a pas lui-même provoqué l’attaque. Si, par contre, l'auteur a provoqué l’agression par une (première) atteinte aux biens juridiques (dont, par exemple, son honneur), il ne peut pas légitimement se prévaloir d’un état de légitime défense, car il n’y a pas de légitime défense contre la légitime défense. En revanche, si la personne attaquée a répondu par une contre-attaque – en principe légitime en vertu de l’art. 15 CP – mais que cette dernière est excessive, l'auteur peut à nouveau se prévaloir de légitime défense contre la légitime défense dans la mesure où celle-ci est excessive et donc illégitime (M. KILLIAS et al., Précis de droit pénal général, 3ème éd., Lausanne/Neuchâtel/Zurich 2016, n. 716, p. 117).</w:t>
      </w:r>
    </w:p>
    <w:p>
      <w:r>
        <w:rPr>
          <w:b/>
        </w:rPr>
        <w:t>E. 2.4.2</w:t>
      </w:r>
    </w:p>
    <w:p>
      <w:r>
        <w:t>; arrêts du Tribunal fédéral 6B_385/2017 du 5 décembre 2017 consid. 2.1 ; 6B_620/2016 du 17 mai 2017 consid. 2.2.2 et les références ; 6B_792/2016 du 18 avril 2017 consid. 3.3).</w:t>
      </w:r>
    </w:p>
    <w:p>
      <w:r>
        <w:t>- 10/15 - P/23787/2017 4.1.2. À teneur de l'art. 429 al. 1 let. a CPP, le prévenu a droit, s'il est acquitté totalement ou en partie, à une indemnité pour les dépenses occasionnées par l'exercice raisonnable de ses droits de procédure. 4.1.3.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4.1.4. A teneur de l'art. 436 al. 1 CPP, les prétentions en indemnités et en réparation du tort moral dans la procédure de recours ("Rechtsmittelverfahren", i.e. appel et recours) sont régies par les art. 429 à 434 CPP. Ce renvoi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4.1.5. Les honoraires d'avocat doivent être proportionnés (N. SCHMID, Schweizerische Strafprozessordnung : Praxiskommentar, 2ème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 du Tribunal fédéral 6B_983/2016 du 13 septembre 2017 consid. 2.2).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Strafprozessordnung - Jugendstrafprozessordnung, Basler Kommentar StPO/JStPO, 2ème éd., Bâle 2014, n. 19 ad art. 429). S'il s'écarte notablement de la note d'honoraires présentée, il doit en motiver les raisons (M. NIGGLI / M. HEER / H. WIPRÄCHTIGER, op. cit., n. 18 ad art. 429). Ainsi, si les frais de défense doivent en principe être pleinement indemnisés, il n'en reste pas moins qu'ils doivent rester dans un rapport raisonnable par rapport à la complexité et à l'importance de l'affaire (ATF 142 IV 163 p. 169). A la lumière de ces principes, il y a lieu de retenir que l'autorité pénale amenée à fixer une indemnité sur le fondement de l'art. 429 al. 1 let. a CPP n'a pas à avaliser purement et simplement les notes d'honoraires d'avocats qui lui sont soumises : elle</w:t>
      </w:r>
    </w:p>
    <w:p>
      <w:r>
        <w:t>- 11/15 - P/23787/2017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Les honoraires d'avocat se calculent selon le tarif usuel du barreau applicable dans le canton où la procédure se déroule (arrêt du Tribunal fédéral 6B_392/2013 du</w:t>
      </w:r>
    </w:p>
    <w:p>
      <w:r>
        <w:rPr>
          <w:b/>
        </w:rPr>
        <w:t>E. 2.5</w:t>
      </w:r>
    </w:p>
    <w:p>
      <w:r>
        <w:t>En l'espèce, il est établi et non contesté par-devant le TF que l'intimée a asséné une gifle à l'appelante, constitutive de voies de fait, en réponse au coup de poing reçu au visage qui lui avait été porté par cette dernière. Force est de constater qu'en qualifiant cette gifle d'acte de légitime défense, le TP n'a pas fait preuve d'arbitraire. En particulier, il n'apparaît pas insoutenable de retenir que les propos tenus par l'intimée devant le MP et le TP, selon lesquels elle avait cherché à se défendre, reflétaient le fond de sa pensée et n'étaient pas uniquement le fruit d'une stratégie mise en place par son avocat. Ainsi, le fait qu'elle n'ait pas expressément mentionné, lors de son audition par la police, le jour des faits, avoir agi dans un but de défense, pouvait, sans faire preuve d'arbitraire, être considéré davantage comme une omission que comme une contradiction avec ses déclarations ultérieures, qui sont demeurées constantes. Le TP n'a ainsi pas versé dans l'arbitraire en retenant que l'intimée avait affirmé, de manière vraisemblable et plausible, avoir agi dans un but de défense.</w:t>
      </w:r>
    </w:p>
    <w:p>
      <w:r>
        <w:t>- 8/15 - P/23787/2017 L'appréciation du TP ne peut davantage être considérée comme arbitraire parce que celui-ci a inféré des circonstances que l'appelante avait vraisemblablement pris l'ascendant lors de l'altercation, ce qui étayait la thèse selon laquelle l'intimée avait adopté une attitude plus défensive qu'offensive. En effet, les blessures au visage de l'intimée sont attestées par pièce et conformes à son récit. L'état de choc dans lequel elle se trouvait après l'événement a été dûment constaté par un témoin. Enfin, il est établi qu'elle a immédiatement déposé plainte contre l'appelante. L'attitude de l'appelante, dont il est établi qu'elle n'a porté plainte qu'après son audition en qualité de prévenue et qui a elle-même indiqué n'avoir pas mentionné l'altercation sur son lieu de travail qu'elle a rejoint immédiatement après l'incident, pouvait également, sans arbitraire, être interprétée comme un indice supplémentaire selon lequel elle avait pu envisager se trouver dans son tort, étant relevé que les précisions, selon lesquelles, en sa qualité d'agent d'entretien, elle n'avait pas pu en discuter avec des collègues car elle s'était retrouvée seule durant plusieurs heures avant l'arrivée du personnel, ont été formulées pour la première fois en appel et sont partant irrecevables. Enfin, contrairement à ce qu'argue l'appelante, il ne peut être retenu que le TP a omis de prendre en compte le fait que l'intimée l'avait attendue à côté de son véhicule afin de régler ses comptes, ce qui démontrait qu'elle était à l'origine de l'altercation. En effet, au-delà du fait que l'appelante n'expose pas en quoi cette prétendue omission serait arbitraire, se contentant de substituer sa propre version des faits à celle retenue par l'autorité inférieure, il n'apparaît pas insoutenable de privilégier ici également la version de l'intimée, selon laquelle elle n'était pas à l'origine de cette seconde altercation. En particulier, le fait – dûment établi – que l'intimée se déplaçait en voiture et l'appelante à pied ne suffit pas, compte tenu de la faible distance à parcourir et du temps consacré au stationnement, à retenir que la première serait sortie de sa voiture bien avant que la seconde arrive à sa hauteur. En tout état, le fait que l'altercation se soit produite aux abords de la voiture de l'intimée tend plutôt à démontrer que celle-ci n'est pas allée à la rencontre de l'appelante pour "en découdre", mais qu'elle a adopté une attitude passive. Considérant ce qui précède, le TP n'a pas établi les faits de manière manifestement inexacte ou contraire au droit en retenant que par la gifle infligée à l'appelante, l'intimée avait agi dans le but de se défendre du coup qu'elle venait de recevoir. La CPAR retient que l'intimée a rendu vraisemblable avoir fait l'objet d'une attaque de la part de l'appelante, à laquelle elle a répondu de manière proportionnée, soit par une gifle, un moyen peu dommageable susceptible d'écarter le danger représenté par son opposante en la repoussant, bien qu'il n'ait en l'occurrence pas abouti au résultat escompté. A toutes fins utiles, on relèvera que l'appelante ne saurait prétendre avoir été provoquée par l'atteinte à l'honneur subie lors de la première altercation, dès lors</w:t>
      </w:r>
    </w:p>
    <w:p>
      <w:r>
        <w:t>- 9/15 - P/23787/2017 qu'en s'en prenant physiquement à l'intimée par le biais d'un coup de poing, elle a eu un geste qui doit être qualifié de contre-attaque excessive, au vu de sa disproportion. Par conséquent, il convient de retenir que les voies de fait infligées à l'appelante l’ont été en état de légitime défense, ce qui conduit à l’acquittement de l'intimée et à la confirmation du jugement entrepris.</w:t>
      </w:r>
    </w:p>
    <w:p>
      <w:r>
        <w:rPr>
          <w:b/>
        </w:rPr>
        <w:t>E. 3</w:t>
      </w:r>
    </w:p>
    <w:p>
      <w:r>
        <w:t>3.1.1. Les frais de la procédure d'appel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w:t>
      </w:r>
    </w:p>
    <w:p>
      <w:r>
        <w:t>3.1.2. 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Les frais de la procédure d'appel postérieurs à un arrêt de renvoi du Tribunal fédéral doivent être laissés à la charge de l'Etat si l'autorité d'appel doit revoir favorablement sa décision à la suite de l'arrêt de renvoi (arrêt du Tribunal fédéral 6B_1367/2017 du 13 avril 2018 consid. 2.1). 3.2.1. En l'espèce, compte tenu de l'acquittement de l'intimée, les frais de la procédure d'appel antérieure au jugement du TF, qui comprennent un émolument de CHF 500.- (art. 14 al. 1 let. e du règlement fixant le tarif des frais en matière pénale [RTFMP]), seront mis à la charge de l'appelante, qui succombe intégralement. 3.2.2. Les frais de la procédure d'appel postérieure à l'arrêt du TF du 17 décembre 2020 seront laissés à la charge de l'Etat.</w:t>
      </w:r>
    </w:p>
    <w:p>
      <w:r>
        <w:rPr>
          <w:b/>
        </w:rPr>
        <w:t>E. 4</w:t>
      </w:r>
    </w:p>
    <w:p>
      <w:r>
        <w:t>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4.2.1. En ce qui concerne la procédure d'appel antérieure à l'arrêt du TF, l'intimée réclame CHF 4'458.78 d'honoraires d'avocat, correspondant à dix heures et 12 minutes d'activité de chef d'étude. Considérée globalement, l'activité déployée pour la défense de l'intimée apparaît admissible, à deux exceptions près. L'intimée allègue une durée totale de six heures pour l'activité en lien avec la rédaction du mémoire de réponse. Considérant que le raisonnement proposé tient sur trois pages et demi, une durée de quatre heure semble largement suffisante pour couvrir la prise de connaissance du mémoire de la partie adverse et l'activité induite par la préparation de la réponse, étant précisé que celle-ci ne justifiait pas de recherches particulières ou de nouvelle étude du dossier, ni de discussions téléphoniques particulières, a fortiori au vu des nombreux échanges indemnisés. L'activité en lien avec la rédaction de la duplique, pour laquelle l'intimée allègue une heure d'activité, sera, pour les mêmes motifs, réduite à 20 minutes. Partant, une indemnité de CHF 3'166.40 lui sera allouée pour les dépenses occasionnées par l'exercice raisonnable de ses droits de procédure d'appel, en amont de la saisine du TF, à savoir six heures et 32 minutes d'activité au taux horaire de CHF 450.-, TVA due en sus par CHF 226.40. 4.2.2. S'agissant de la procédure d'appel postérieure à l'arrêt du TF, l'intimée allègue quatre heures et 24 minutes d'activité.</w:t>
      </w:r>
    </w:p>
    <w:p>
      <w:r>
        <w:t>- 12/15 - P/23787/2017 Or, elle s'est limitée à produire de brèves déterminations, qui reprennent pour l'essentiel les arguments déjà soulevés. L'activité sera partant réduite à une heure, suffisante pour tenir compte de la rédaction et des communications usuelles. Ainsi, l'indemnité sera arrêtée à CHF 484.65, soit une heure d'activité au taux horaire de CHF 450.-, plus la TVA en CHF 34.65. 4.2.3. L'appelante sera déboutée de ses prétentions découlant de l'art. 433 CPP vu l'acquittement prononcé. * * * * *</w:t>
      </w:r>
    </w:p>
    <w:p>
      <w:r>
        <w:t>- 13/15 - P/23787/2017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