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AARP/77/2019 vom 13. März 2019</w:t>
      </w:r>
    </w:p>
    <w:p>
      <w:r>
        <w:t>GE Cour de justice, 2019-03-13, FR</w:t>
      </w:r>
    </w:p>
    <w:p>
      <w:r>
        <w:rPr>
          <w:b/>
        </w:rPr>
        <w:t xml:space="preserve">Quelle: </w:t>
      </w:r>
      <w:r>
        <w:t>https://mcp.opencaselaw.ch/entscheid/ge_gerichte_AARP_77_2019</w:t>
      </w:r>
    </w:p>
    <w:p>
      <w:r>
        <w:t>FR: GE_GERICHTE AARP/77/2019 du 13 mars 2019</w:t>
      </w:r>
    </w:p>
    <w:p>
      <w:r>
        <w:t>IT: GE_GERICHTE AARP/77/2019 del 13 marzo 2019</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Le recours est recevable contre les ordonnances, les décisions et les actes de procédure des tribunaux de première instance (art. 393 al. 1 let. b CPP).</w:t>
      </w:r>
    </w:p>
    <w:p>
      <w:r>
        <w:t>L'appelant requiert, dans sa déclaration d'appel, la constatation de la nullité de l'ordonnance de maintien en détention pour des motifs de sûreté de la Présidente du Tribunal de police du 12 septembre 2018. La question a été tranchée par la CPR, dans son arrêt ACPR/586/18 du 10 octobre 2018, de sorte qu'elle est sans objet. Partant, cette conclusion sera rejetée.</w:t>
      </w:r>
    </w:p>
    <w:p>
      <w:r>
        <w:rPr>
          <w:b/>
        </w:rPr>
        <w:t>E. 2.1</w:t>
      </w:r>
    </w:p>
    <w:p>
      <w:r>
        <w:t>L'énumération des cas dans lesquels la juridiction d'appel peut traiter un appel en procédure écrite est exhaustive. Dès qu'une question de fait est litigieuse, hypothèse qui est généralement réalisée lorsque le recourant conclut à son acquittement, il y a lieu d'ordonner des débats, sauf accord contraire des parties (ATF 139 IV 290 consid. 1 p. 291 ss, paru in SJ 2014 I p. 168 ; arrêt du Tribunal fédéral 6B_510/2014 du 9 janvier 2015 consid. 1.2). L'art. 406 al. 2 CPP n'exige pas l'accord exprès des parties pour ordonner la procédure écrite. L'accord peut aussi être tacite. La partie renonce à des débats oraux si, à la suite d'une décision de l'autorité d'appel par laquelle celle-ci indique que des débats oraux ne seront tenus que sur demande des parties et qu'une absence de réponse sera interprétée comme un accord donné pour la procédure écrite, elle procède sans réserve par écrit (ATF 143 IV 483 consid. 2). 2.2.1. 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w:t>
      </w:r>
    </w:p>
    <w:p>
      <w:r>
        <w:t>- 11/34 - P/5515/2018 pouvant encore être formulées devant la juridiction d’appel, à l’ouverture des débats, au titre de questions préjudicielles (art. 339 al. 2 et 3 cum art. 405 al. 1 CPP). 2.2.2.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non publié du Tribunal fédéral 6B______/2012 consid. 3.1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en matière d'appréciation anticipée des preuves (arrêts du Tribunal fédéral 6B_259/2016, 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 ; arrêts du Tribunal fédéral 6B_71/2016 du 5 avril 2017 consid. 2.1.3 ; 1B_112/2012 du 6 décembre 2012 consid. 2.1). 2.2.3. Conformément à l'art. 389 al. 2 CPP, l'administration des preuves du tribunal de première instance n'est répétée que si les dispositions en matière de preuves ont été enfreintes (let. a), l'administration des preuves était incomplète (let. b) ou les pièces relatives à l'administration des preuves ne semblent pas fiables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2.3.1.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w:t>
      </w:r>
    </w:p>
    <w:p>
      <w:r>
        <w:t>- 12/34 - P/5515/2018 déclarations de témoins toutes celles portées à la connaissance du tribunal et utilisées par lui, y compris lorsqu'elles ont été recueillies lors de l'enquête préliminaire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129 I 151 consid. 3.1 p. 153 s. et les références ; 125 I 127 consid. 6c/dd p. 135 ; arrêt du Tribunal fédéral 6B_1310/2016 du 13 décembre 2017 consid. 2.1).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 480 ss et les références ; arrêts du Tribunal fédéral 6B_1310/2016 du 13 décembre 2017 consid. 2.1 ; 6B_956/2016 du 19 juillet 2017 consid. 2.3.1 ; 6B_947/2015 du 29 juin 2017 consid. 5.5.1 et les références ; 6B_961/2016 du 10 avril 2017 consid. 3.3.1 ; 6B_839/2913 du 28 octobre 2014 consid. 1.5.1). Des démarches doivent ainsi être entreprises afin de garantir l'équité de la procédure. Sont des éléments susceptibles de rétablir l'équilibre du procès le fait que les juridictions se soient penchées avec prudence sur les déclarations non vérifiées d'un témoin absent, qu'elles aient montré avoir été conscientes de la valeur réduite de ces déclarations, ou qu'elles aient exposé en détail pourquoi elles considéraient que ces déclarations étaient fiables, tout en tenant compte des autres éléments de preuve disponibles.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(arrêts du Tribunal fédéral 6B_947/2015 du 29 juin 2017 consid. 10.2.2.6.4 et les références ; 6B_862/2015 du 7 novembre 2016 consid. 4.3.3). 2.3.2. En l'espèce, la CPAR comprend que l'appelant, qui a procédé par écrit, émet une réserve dans la mesure où il requiert premièrement l'audition du témoin C______, ce qui conduirait à devoir ordonner des débats. Ce témoin a néanmoins déjà été entendu par la police, en présence du conseil de l'appelant, qui a partant pu lui poser toutes questions utiles. La CPAR n'a pour le surplus pas besoin de la connaissance directe de ce témoignage, de sorte qu'il n'est pas nécessaire de l'entendre à nouveau. La production du casier judiciaire du témoin C______ et de ses renseignements de police est sans pertinence pour déterminer si l'appelant a réellement, le 20 mars 2018, vendu de la cocaïne au témoin. La procédure est dirigée contre l'appelant et les antécédents du témoin C______ n'ont dès lors pas à être instruits. La CPAR appréciera sa crédibilité à l'aune de tous les éléments de la procédure et se réfère pour le surplus à l'arrêt ACPR/305/2018 ayant déjà statué sur cette question.</w:t>
      </w:r>
    </w:p>
    <w:p>
      <w:r>
        <w:t>- 13/34 - P/5515/2018 Finalement, la production du relevé du téléphone de l'appelant est sans pertinence dans la mesure où, vu son acquittement partiel en première instance portant sur les ventes de stupéfiant des deux dernières années, dénoncées par le témoin C______, ainsi que l'absence d'appel (joint) du Ministère public, seules lui restent reprochées, en appel, les ventes de stupéfiants des 13 février et 20 mars 2018. Peu importe dans ces conditions pour le surplus de savoir qui auraient été ses autres clients. La CPAR disposant des éléments nécessaires pour trancher l'appel, les réquisitions de preuves doivent être rejetées. Ainsi il peut être procédé par écrit, comme accepté par le prévenu appelant par acte concluant (le dépôt du mémoire d'appel), dans la mesure où sa réquisition de preuves commandant la tenue de débats est écartée.</w:t>
      </w:r>
    </w:p>
    <w:p>
      <w:r>
        <w:rPr>
          <w:b/>
        </w:rPr>
        <w:t>E. 3</w:t>
      </w:r>
    </w:p>
    <w:p>
      <w:r>
        <w:t>L'appelant ne conteste pas, à juste titre, sa culpabilité, dûment établie par les éléments du dossier ainsi que par ses aveux, pour le chef d'infraction de séjour illégal (art. 115 al. 1 let. b LEtr), passible d'une peine privative de liberté d'un an au plus ou d'une peine pécuniaire.</w:t>
      </w:r>
    </w:p>
    <w:p>
      <w:r>
        <w:rPr>
          <w:b/>
        </w:rPr>
        <w:t>E. 4</w:t>
      </w:r>
    </w:p>
    <w:p>
      <w:r>
        <w:t>4.1.1.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w:t>
      </w:r>
    </w:p>
    <w:p>
      <w:r>
        <w:t>- 14/34 - P/5515/2018 véritable des événements (ATF 138 V 74 consid. 7 p. 82 ; ATF 127 I 38 consid. 2a p. 41 ; ATF 124 IV 86 consid. 2a p. 87 s. ; arrêt du Tribunal fédéral 6B_1015/2016 du 27 octobre 2017 consid. 4.1). 4.1.2. À teneur de l'art. 19 al. 1 let. c LStup celui qui, sans droit, aliène ou prescrit des stupéfiants, en procure de toute autre manière à un tiers ou en met dans le commerce sera puni d'une peine privative de liberté de trois ans au plus ou d'une peine pécuniaire. L'art. 19 al. 1 let. d LStup réprime, de la même peine, celui qui, sans droit, possède, détient ou acquiert des stupéfiants ou s'en procure de toute autre manière. L'art. 19 LStup ne réprime pas globalement le "trafic de stupéfiants", mais érige différents comportements en autant d'infractions indépendantes, chaque acte, même répété, constituant une infraction distincte (ATF 137 IV 33 consid. 2.1.3 p. 39 ; ATF 133 IV 187 consid. 3.2 p. 193 ; arrêts du Tribunal fédéral 6B_1335/2016 du 5 septembre 2017 consid. 2.2 ; 6B_474/2016 du 6 février 2017 consid. 3.1). 4.1.3. Le critère du modus operandi peut être pris en compte lorsqu'il s'agit d'attribuer une infraction à son auteur présumé (arrêt du Tribunal fédéral 6B_931/2016 du 6 juin 2017 consid. 1.2.2). 4.2.1. En l'espèce, l'appelant possédait 0.8 gr de marijuana et 28.4 gr de haschich lors de son interpellation le 13 février 2018, ce qui est établi à teneur du rapport d'arrestation ainsi que de ses aveux. L'appelant n'a pas contesté la détention de ces deux substances, retrouvées dans la même poche que les 2.1 gr de cocaïne pour lesquels il est poursuivi. Il n'est dans ces conditions pas crédible lorsqu'il prétend ignorer comment cette drogue s'est retrouvée au même endroit, étant relevé qu'il ne remet à juste titre pas en cause les constatations de la police à cet égard. Il ne fournit aucune explication quant à la présence sur sa personne de cocaïne à son insu. Ses dénégations sont partant dépourvues de toute assise dans le dossier. Comme il a affirmé ne pas consommer de cocaïne, seule une détention en vue de vente est plausible. Partant, sa condamnation pour infraction l'art. 19 al. 1 LStup sera confirmée. 4.2.2. La vente de petits cailloux de cocaïne pour un poids de 9.5 gr opérée par l'appelant le 20 mars 2018 est étayée par les observations de la police, que l'appelant ne critique pas en tant que telles, puis les déclarations du témoin C______, interpellé juste après la transaction en leur possession. Ce témoin a sans aucun doute identifié l'appelant comme son vendeur et a donné des explications détaillées et précises sur ladite transaction, à hauteur de CHF 500.-. Il a réitéré ses explications en présence du conseil de l'appelant lesquelles jouissent partant d'une forte crédibilité. C'est</w:t>
      </w:r>
    </w:p>
    <w:p>
      <w:r>
        <w:t>- 15/34 - P/5515/2018 vainement que ce dernier cherche à les remettre en cause en appel en prétendant que ce témoin aurait été sous l'influence d'un inspecteur. En sous-entendant une telle connivence, le conseil de l'appelant accuse ni plus ni moins l'inspecteur en question d'avoir monté un faux dossier, soit plus précisément instigué une personne entendue en qualité de témoin à faire un faux témoignage, ce qui relève d'un comportement pénalement répréhensible. La CPAR ne saurait le suivre sur cette voie. Les déclarations de l'appelant ont quant à elles varié au fil de ses auditions, sur le déroulement de l'après-midi du 20 mars 2018 ainsi que sur les circonstances de son rendez-vous avec le témoin C______. En affirmant n'avoir jamais vendu de drogue, il feint d'oublier les trois condamnations inscrites à son casier judiciaire pour délit à la LStup, dans des configurations similaires. Lors de son interpellation le 20 mars 2018 dans la soirée, suite à la vente de cocaïne qui lui avait rapporté CHF 500.- dans l'après-midi, il était en possession de plus de CHF 150.-. Il a prétendu les avoir gagnés par de "petits boulots", explications nullement étayées et en contradiction avec le fait qu'il dise vivre grâce à l'aide d'amis. En outre, l'appelant s'est fait interpeller à l'heure et au lieu convenus avec le témoin C______, rendez-vous ayant pour seul objet la remise de marijuana. La détention par l'appelant à ce moment-là de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- 16/34 - P/5515/2018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5.1.2. À teneur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légal de chaque genre de peine. En revanche, lorsque la loi pénale ne prévoit pas le même genre de peine pour toutes les infractions, l'art. 49 al. 1 CP ne s'applique pas et les peines doivent être prononcées cumulativement (ATF 137 IV 57 consid. 4.3 p. 58 ss).</w:t>
      </w:r>
    </w:p>
    <w:p>
      <w:r>
        <w:rPr>
          <w:b/>
        </w:rPr>
        <w:t>E. 5.2</w:t>
      </w:r>
    </w:p>
    <w:p>
      <w:r>
        <w:t>L'appelant ne conteste à juste titre pas le genre de peine ni le fait qu'elle ne soit pas assortie du sursis, mais en demande la réduction. Sa faute n'est pas négligeable. Il s'est livré à un trafic de cocaïne, respectivement a pris des mesures pour en mettre dans le commerce. Il a séjourné en Suisse illégalement sur une période de plus de six mois. Ses mobiles sont égoïstes relevant de l'appât du gain, s'agissant du trafic de stupéfiants et du mépris face aux règles en vigueur.</w:t>
      </w:r>
    </w:p>
    <w:p>
      <w:r>
        <w:t>- 17/34 - P/5515/2018 Même si la précarité de la situation personnelle de l'appelant explique, en partie, ses agissements, elle ne saurait les justifier, étant relevé que son absence totale de liens avec la Suisse rend encore moins compréhensible son insistance à rester en toute illégalité dans ce pays. Sa collaboration durant la procédure a été moyenne à médiocre, l'appelant contestant encore en appel en particulier le trafic de stupéfiants nonobstant les preuves recueillies à son encontre. Sa prise de conscience est nulle, qui plus est au vu de la récidive, d'autant plus qu'il dit ouvertement compter poursuivre son séjour en Suisse et ce malgré ses récidives en matière d'infractions à la LEtr, ce qui démontre une volonté délictuelle prononcée. Il y a concours d'infractions entre les art. 19 al. 1 LStup et 115 al. 1 let. b LEtr, ce qui commande une augmentation de la peine dans une juste proportion et exclut l'application de la Directive 2008/115/CE du Parlement européen et du Conseil relative aux normes et procédures communes applicables dans les Etats membres au retour des ressortissants de pays tiers en séjour irrégulier du 16 décembre 2018 (Directive sur le retour) (arrêt du Tribunal fédéral 6B_320/2013 du 29 août 2013 consid. 3.2). L'appelant a été précédemment condamné à une peine pécuniaire puis à huit reprises à des peines privative de liberté, sanctions qui n'ont eu aucun effet dissuasif. Dans ces conditions, une peine privative de liberté de sept mois est adéquate et conforme aux éléments de la procédure.</w:t>
      </w:r>
    </w:p>
    <w:p>
      <w:r>
        <w:rPr>
          <w:b/>
        </w:rPr>
        <w:t>E. 6.1</w:t>
      </w:r>
    </w:p>
    <w:p>
      <w:r>
        <w:t>D'après l'art. 19a al. 1 LStup, celui qui, sans droit, aura consommé intentionnellement des stupéfiants ou celui qui aura commis une infraction à l'art. 19 [LStup] pour assurer sa propre consommation est passible de l'amende. Dans les cas bénins, l'autorité compétente pourra suspendre la procédure ou renoncer à infliger une peine. Une réprimande peut être prononcée (al. 2).</w:t>
      </w:r>
    </w:p>
    <w:p>
      <w:r>
        <w:t>La notion de cas bénin est une notion juridiquement indéterminée que le juge doit interpréter. Il doit prendre en considération l'ensemble des circonstances concrètes, objectives et subjectives (ATF 124 IV 44 consid. 2a p. 45 et les références citées).</w:t>
      </w:r>
    </w:p>
    <w:p>
      <w:r>
        <w:rPr>
          <w:b/>
        </w:rPr>
        <w:t>E. 6.2</w:t>
      </w:r>
    </w:p>
    <w:p>
      <w:r>
        <w:t>En l'espèce, à part contester le principe du prononcé d'une amende, l'appelant n'en conteste pas le montant. Il est un consommateur régulier de cannabis depuis une dizaine d'années. A teneur de son casier judiciaire, il a été condamné, à diverses reprises, pour consommation de stupéfiants. Ce nonobstant, il ne change pas de comportement. Une telle persistance à enfreindre les lois pénales ne peut être qualifiée de cas bénin.</w:t>
      </w:r>
    </w:p>
    <w:p>
      <w:r>
        <w:t>- 18/34 - P/5515/2018 L'amende de CHF 100.- prononcée par le premier juge s'avère dans ces circonstances modeste et même clémente. Elle sera ainsi confirmée.</w:t>
      </w:r>
    </w:p>
    <w:p>
      <w:r>
        <w:rPr>
          <w:b/>
        </w:rPr>
        <w:t>E. 7</w:t>
      </w:r>
    </w:p>
    <w:p>
      <w:r>
        <w:t>7.1.1.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L'application de l'art. 66abis CP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w:t>
      </w:r>
    </w:p>
    <w:p>
      <w:r>
        <w:t>- 19/34 - P/5515/2018 BUSSLINGER / P. UEBERSAX, op. cit.,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 Les critères déterminants mis en exergue par la jurisprudence rendue sur l'art. 8 CEDH sont applicables à la pesée des intérêts des art. 66a al. 2 et 66abis CP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op. cit., p. 166 ; AARP/179/2017 du 30 mai 2017 consid. 3.1.3). 7.1.2. L'art. 66a al. 2 CP définit une "Kannvorschrift", en ce sens que le juge n'a pas l'obligation de renoncer à l'expulsion, mais peut le faire si les conditions fixées par cette disposition sont remplies. Ces conditions sont cumulatives (arrêts du Tribunal fédéral 6B_706/2018 du 7 août 2018 consid. 2.1 ; 6B_296/2018 du 13 juillet 2018 consid. 3.2 ; 6B_506/2017 du 14 février 2018 consid. 1.1 et les références).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(arrêts du Tribunal fédéral 6B_612/2018 du 22 août 2018 consid. 2.1 ; 6B_296/2018 du 13 juillet 2018 consid. 3.2 ; 6B_1299/2017 du 10 avril 2018 consid. 2.1 ; M.</w:t>
      </w:r>
    </w:p>
    <w:p>
      <w:r>
        <w:t>- 20/34 - P/5515/2018 BUSSLINGER / P. UEBERSAX, op. cit., p. 96 ss ; A. BERGER, Umsetzungsgesetzgebung zur Ausschaffungsinitiative, in Jusletter 7 août 2017 n. 6.1 p. 20 ; AARP/185/2017 du 2 juin 2017 consid. 2.2 ). Pour fonder un cas de rigueur, il est nécessaire que la somme de toutes les difficultés induites par une expulsion affecte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p. 87 ; AARP/185/2017 du 2 juin 2017 consid. 2.2). La loi ne définit pas ce qu'il faut entendre par une "situation personnelle grave". À cet égard, certains auteurs préconisent de s'inspirer des critères énoncés à l'art. 31 de l'ordonnance relative à l'admission, au séjour et à l'exercice d'une activité lucrative (OASA – RS 142.201 ; cf. B. F. BRÄGGER, Auswirkungen der neuen strafrechtlichen Landesverweisung auf den Sanktionenvollzug, in SZK 1/2017 p. 88 ; M. BUSSLINGER/ P. UEBERSAX, op. cit., p. 100 s. ; A. BERGER, op. cit., p. 26 ; contra : G. FIOLKA/ L. VETTERLI, op. cit., p. 86 s.). Le Tribunal fédéral n'a pas tranché cette question (arrêt du Tribunal fédéral 6B_506/2017 du 14 février 2018 consid. 1.1 in fine). 7.1.3. La prise en considération de l'état de santé de l'intéressé se justifie. La doctrine estime ainsi que l'art. 66a al. 2 CP peut être réalisé lorsque celui-ci souffre d'une maladie nécessitant des soins médicaux. Il faut alors analyser comment son état de santé risque de se péjorer et quelles prestations médicales devront être fournies, ainsi que clarifier si ces prestations ne pourront en aucun cas être fournies dans l'État d'origine et quels inconvénients pourraient en découler. Si des possibilités suffisantes de soins ne peuvent pas être établies, il doit être supposé qu'elles n'existent pas.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À pondération égale, l'intérêt privé prime sur l'intérêt public (G. FIOLKA / L. VETTERLI, op. cit., p. 85 et 87 ; M. BUSSLINGER / P. UEBERSAX, op. cit., p. 102 ; AARP/185/2017 du 2 juin 2017 consid. 2.2). Dans un arrêt PAPOSHVILI c/ Belgique du 13 décembre 2016 (Grande Chambre, requête no 41738/10), la Cour européenne des droits de l'homme a considéré que</w:t>
      </w:r>
    </w:p>
    <w:p>
      <w:r>
        <w:t>- 21/34 - P/5515/2018 l'expulsion d'un criminel gravement malade (atteint notamment d'une leucémie avec pronostic vital engagé et d'une hépatite C) vers la Géorgie était contraire à l'art. 3 CEDH. Selon la jurisprudence fédérale en matière de droit des étrangers, un étranger ne peut se fonder sur l'existence de prestations médicales supérieures en Suisse pour s'opposer à son renvoi dans un pays où le traitement dont il a besoin s'avère disponible (arrêts du Tribunal fédéral 6B_612/2018 du 22 août 2018 consid. 2.6 ; 6B_706/2018 du 7 août 2018 consid. 2.5 ; 2C_218/2017 du 17 juillet 2017 consid. 5.3).</w:t>
      </w:r>
    </w:p>
    <w:p>
      <w:r>
        <w:rPr>
          <w:b/>
        </w:rPr>
        <w:t>E. 7.2</w:t>
      </w:r>
    </w:p>
    <w:p>
      <w:r>
        <w:t>Bien que la faute de l'appelant soit de gravité moyenne, il reste, au vu de ses antécédents, qu'il est durablement inscrit dans la délinquance, ayant été condamné à</w:t>
      </w:r>
    </w:p>
    <w:p>
      <w:r>
        <w:rPr>
          <w:b/>
        </w:rPr>
        <w:t>E. 12</w:t>
      </w:r>
    </w:p>
    <w:p>
      <w:r>
        <w:t>reprises ces 11 dernières années, pour des infractions non dénuées de gravité telles que vol, séjour illégal, violation de domicile et infractions à la LStup. Son comportement témoigne de son mépris total de l'ordre juridique et de son incapacité à le respecter. Les sanctions prononcées contre l'appelant ne parviennent pas à l'empêcher de commettre de nouvelles infractions. Ainsi, au regard de ses antécédents, on ne peut sous-estimer la gravité des infractions faisant l'objet du jugement entrepris. Il est en particulier à craindre que le recourant menace à nouveau l'ordre et la sécurité publics. Certes, l'appelant réside depuis 14 ans en Suisse, cependant il n'a jamais été titulaire d'un titre de séjour valable. Il ne s'est jamais intégré en Suisse et du fait de son statut administratif n'a jamais eu d'activité professionnelle. Il est sans domicile, dormant auprès de structures d'accueils à Genève, voire auprès de connaissances. De surcroît, aucun membre de sa famille ne réside en Suisse. Ses problèmes de santé ne justifient nullement la persistance de son séjour en Suisse. Il a manqué, à plusieurs reprises, des rendez-vous médicaux, et ne prend pas de manière régulière son traitement médicamenteux ce qui témoigne du peu de sérieux qu'il accorde à ce suivi. Il ne ressort pas de la procédure et l'appelant ne prétend pas qu'il pourrait se faire traiter ailleurs, soit notamment dans son pays d'origine. Sans étayer de quelconque manière ses propos, il soutient en appel devoir être considéré comme apatride après que son pays aurait refusé de le reconnaître. Ceci ne suffit pas à devoir renoncer à prononcer de son expulsion de Suisse. La durée d'expulsion de dix ans est adéquate, au vu de son ancrage dans la délinquance. L'expulsion de l'appelant est ainsi justifiée et proportionnée et sera par conséquent confirmée. La peine privative de liberté sera exécutée avant l'expulsion.</w:t>
      </w:r>
    </w:p>
    <w:p>
      <w:r>
        <w:t>- 22/34 - P/5515/2018 8. 8.1.1. D'après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8.1.2.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8.2.1. 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 8.2.2.1. Selon la jurisprudence,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130 IV 143 consid. 3.3.1 p. 149). La confiscation d'objets dangereux constitue une atteinte à la garantie de la propriété selon l'art. 26 Cst. et elle est soumise pour cette raison au principe de la proportionnalité (art. 36 Cst.; ATF 137 IV 249 consid. 4.5 p. 256). 8.2.2.2. Il doit également exister un rapport de connexité entre l'infraction et les valeurs patrimoniales à confisquer. L'infraction doit ainsi être la cause essentielle et</w:t>
      </w:r>
    </w:p>
    <w:p>
      <w:r>
        <w:t>- 23/34 - P/5515/2018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(ATF129 IV 453 consid. 4.1 p. 461 ; arrêt du Tribunal fédéral 1B.185/2007 du 30 novembre 2007 consid. 9 ; arrêt du Tribunal fédéral 6S.324/200 du 6 septembre 2000 consid. 5c/bb ; SJ 1999 p. 417 consid. 2a p. 419). Selon la jurisprudence et la doctrine,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sur un support du même genre (billet de banque, devises, chèques, avoirs en compte ou autres créances), mais également en cas de remploi proprement dit (echtes Surrogat),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8.2.3.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w:t>
      </w:r>
    </w:p>
    <w:p>
      <w:r>
        <w:t>- 24/34 - P/5515/2018 justifier l'origine de fonds rendus suspects par d'autres éléments probants –, que les valeurs patrimoniales en cause sont le résultat d'un trafic appréhendé dans sa globalité. 8.3. En l'espèce, l'appelant demande la restitution des CHF 150.-, et du téléphone portable saisis sur sa personne le 20 mars 2018. 8.3.1. L'appelant a varié dans ses explications s'agissant de la provenance de ces espèces, avançant tout d'abord qu'il vivait grâce à l'aide de son entourage, avant d'indiquer que ces espèces provenaient de "petits boulots". Il n'étaye pas davantage cette dernière hypothèse, que ce soit notamment par une description plus détaillée du déroulement de ces travaux. Il est à l'inverse établi que l'appelant s'adonnait à un trafic de stupéfiants et a reçu le 20 mars 2018 CHF 500.- en contrepartie de cailloux de cocaïne remis au témoin C______. Ainsi, ces espèces sont bien le produit de son trafic de stupéfiants de sorte que leur confiscation et leur dévolution à l'Etat sera confirmée. 8.3.2. L'appelant détenait le même appareil téléphonique avec le numéro d'appel 2______, à chacune de ses interpellations en février et mars 2018. Le témoin C______ a indiqué avoir contacté, le 20 mars 2018, l'appelant, sur ce numéro de téléphone, dans le but de lui demander de la marijuana. Finalement, une vente de cocaïne est intervenue au terme de leur première transaction ce jour-là. Partant, l'appelant a bien fait usage du smartphone saisi pour se livrer à un trafic de stupéfiants de sorte que sa confiscation et sa dévolution à l'Etat se justifient. Le jugement de première instance sera partant également confirmé sur ce point. 9. 9.1. Le prévenu a un droit découlant de la liberté personnelle à être remis immédiatement en liberté. Le Ministère public doit en conséquence prendre rapidement les mesures nécessaires à une libération effective ; un délai de 11 heures entre la décision de mise en liberté et son exécution a été jugé contraire à l'art. 5 al. 1 CEDH (D. LOGOS, Commentaire romand du code de procédure pénale, Bâle 2011, n. 33 ad art. 224 ainsi que les références citées). 9.2.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t>9.3.1. L'art. 431 CPP garantit une indemnité et une réparation pour tort moral en cas de mesures de contrainte (al. 1) ou de détention illicite (al. 2). Il y a détention excessive (Überhaft) lorsque la détention provisoire et la détention pour des motifs</w:t>
      </w:r>
    </w:p>
    <w:p>
      <w:r>
        <w:t>- 25/34 - P/5515/2018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La détention ne sera qualifiée d'excessive qu'après le prononcé du jugement (ATF 141 IV 236 consid. 3.2 ; arrêt du Tribunal fédéral 6B_343/2015 du 2 février 2016 consid. 1.2.4). 9.3.2. Conformément à l'art. 51 CP, la détention excessive avant jugement est d'abord imputée sur une autre sanction et ne peut donner lieu à une indemnisation que si aucune imputation n'est possible. L'intéressé n'a aucun droit de choisir entre l'indemnisation ou l'imputation (ATF 141 IV 236 consid. 3.3 ; arrêts du Tribunal fédéral 6B_343/2015 du 2 février 2016 consid. 1.2.4 ; 6B_558/2013 du 13 décembre 2013 consid. 1.5 ; 6B_169/2012 du 25 juin 2012 consid. 6 ; 1B_179/2011 du 17 juin 2011 consid. 4.2). La jurisprudence a clarifié le mode de réparation de l'atteinte subie par le prévenu, finalement acquitté ou bénéficiant d'un classement (partiel ou total), du fait de la privation de liberté par suite d'une détention avant jugement. Il en ressort que l'art. 51 CP l'emporte sur l'art. 429 al. 1 let. c CPP, de sorte que le juge doit prioritairement imputer les jours de détention avant jugement sur la peine prononcée. L'indemnisation n'intervient que dans la mesure où ces jours de détention ne peuvent plus faire l'objet d'une imputation. L'indemnisation financière selon l'art. 429 al. 1 let. c CPP est ainsi subsidiaire à l'imputation et il n'existe aucun droit pour le prévenu concerné de choisir entre l'une ou l'autre voie. 9.3.3.1. Conformément au principe consacré en responsabilité civile, l'évaluation du tort moral subi à la suite d'une privation de liberté s'opère en deux temps. Le tort moral doit d'abord être calculé sur la base d'une indemnité journalière, ce qui permet d'obtenir une estimation de l'indemnisation à verser. Le taux journalier n'est cependant qu'un critère qui permet de déterminer un ordre de grandeur pour le tort moral (arrêt 6B_1057/2015 du 25 mai 2016). Il convient dans ce premier volet de procéder à l'examen objectif de l'atteinte en fonction de la nature et de la gravité de l'atteinte (C. GENTON / C. PERRIER, Les prétentions du prévenu en indemnités et en réparation du tort moral, in Jusletter du 13 février 2012, n. 85 p. 12 n. 38 et les arrêts cités ; ATF 135 IV 43 consid. 4.1.). Il appartient au prévenu, qui supporte le fardeau de la preuve de l'étendue du préjudice, de rendre vraisemblable que le dommage dont il demande réparation est la conséquence directe de son inculpation ou de son incarcération. L'indemnité allouée doit être équitable et proportionné à l'intensité des souffrances morales causées à la victime (ATF 130 III 699 consid. 5.1. p. 704 et les arrêts cités ; décision du Tribunal pénal fédéral SK.2013.3/5/6 du 24</w:t>
      </w:r>
    </w:p>
    <w:p>
      <w:r>
        <w:t>- 26/34 - P/5515/2018 avril 2016). L'autorité compétente bénéficie d'un pouvoir d'appréciation en la matière (ATF 129 IV 22 consid. 7.2. p. 36 s.). Ensuite, il convient de déterminer s'il existe des circonstances particulières aggravantes ou atténuantes justifiant le versement d'un montant inférieur ou supérieur (arrêts du Tribunal fédéral 6B_574/2010 du 31 janvier 2011 consid. 2.3. ; 6B_745/2009 du 12 novembre 2009). Constituent notamment de telles circonstances les motifs ayant conduit à la privation de liberté du prévenu et la durée de la détention, la gravité des actes qui ont été reprochés au prévenu, la sensibilité de ce dernier à la détention subie, ainsi que les effets de celle-ci sur son intégrité physique ou psychique, son environnement, ses liens sociaux et sa réputation (K. HÜTTE / P. DUCKSCH / K. GUERRERO, Die Genugtuung, 3e éd., Zurich 2005, n. 10.5 ss, p. I 105 s. ; C MIZEL / V. RETORNAZ, in Commentaire romand du CPP, n. 48 ad art 429 ; arrêt 6B_1052/2014 du 22 décembre 2015 consid. 2.1. ; 6B_1057/2015 du 25 mai 2016 consid. 4.1.). 9.3.3.2. Pour le Tribunal fédéral, une indemnité journalière de CHF 200.- constitue en principe une réparation appropriée en cas de détention injustifiée de courte durée (art. 429 CPP), à condition qu'il n'existe pas de circonstances particulières qui pourraient fonder le versement d'un montant inférieur ou supérieur (arrêts du Tribunal fédéral 6B_133/2014 du 18 septembre 2014 consid. 3.2 ; 6B_547/2011 du 3 février 2012 consid. 2 ; 6B_111/2012 du 15 mai 2012 consid. 4.2 ; 6B_133/2014 du 18 septembre 2014 consid. 3.2). Lorsque la durée de détention est de plusieurs mois, il convient en règle générale de réduire le montant journalier de l'indemnité (arrêt 6B_111/2012 du 15 mai 2012 consid. 4.2 ; ATF 113 Ib 155 consid. 3b). 9.3.3.3. Conformément à la jurisprudence rendue par le Tribunal fédéral en relation avec l'indemnisation des victimes LAVI, il n'y a en principe pas lieu de prendre en considération les frais d'entretien au domicile de l'ayant droit lors de la fixation de l'indemnité pour tort moral. L'indemnité doit ainsi être fixée sans égard au lieu de vie de l'ayant droit et à ce qu'il va faire de l'argent obtenu. Toutefois, dans la mesure où le bénéficiaire domicilié à l'étranger serait exagérément avantagé en raison des conditions économiques et sociales existantes à son lieu de domicile, il convient d'adapter l'indemnité vers le bas (ATF 125 II 554 consid. 4a p. 559 ; ATF 123 III 10 consid. 4 p. 11 ss).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w:t>
      </w:r>
    </w:p>
    <w:p>
      <w:r>
        <w:t>- 27/34 - P/5515/2018 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 du Tribunal fédéral 1A.299/2000 du 30 mai 2001 consid. 5c : Bosnie Herzégovine, pouvoir d'achat 6 à 7 fois plus élevé permettant une réduction de l'indemnité de 75%, jugée élevée par le Tribunal fédéral mais demeurant néanmoins dans les limites du pouvoir d'appréciation de la cour cantonale ; arrêt du Tribunal fédéral 1C_106/2008 du 24 septembre 2008 consid. 4.2 : Portugal, coût de la vie correspondant à 70% du coût de la vie suisse ne justifiant pas de réduction ; arrêt du Tribunal fédéral 6B_909/2015 du 22 juin 2016 consid. 2.3.1). Ainsi, la juridiction d'appel a diminué de 60% l'indemnité de CHF 100.- par jour pour tort moral dans le cas d'un ressortissant albanais qui avait subi 89 jours de détention (AARP/120/2015 du 3 mars 2015 consid. 4.2.3. qui constate une différence de niveau de vie d'un facteur 26), de 70% l'indemnité de CHF 100.- par jour pour tort moral dans le cas d'un ressortissant kosovar qui avait subi 76 jours de détention (AARP/376/2012 du</w:t>
      </w:r>
    </w:p>
    <w:p>
      <w:r>
        <w:rPr>
          <w:b/>
        </w:rPr>
        <w:t>E. 16</w:t>
      </w:r>
    </w:p>
    <w:p>
      <w:r>
        <w:t>novembre 2012), de 65% dans le cas d'un ressortissant tunisien, habitant à Gex, en France, qui avait subi 183 jours de détention (AARP/605/2013 du 30 décembre 2013 pour une différence de facteur 20 ; ACPR/434/2014 du 29 septembre 2014) et de 55% eu égard à un ressortissant roumain, étant considéré que le niveau de vie en Roumanie état neuf fois et demie moins élevé qu'en Suisse (PIB par habitant suisse de CHF 78'023.- et roumain de CHF 8'100 en 2012), et l'a ainsi notamment arrêtée à CHF 90.- pour les quatre premiers mois de détention illicite (AARP/525/2015 du 14 décembre 2015 consid. 5.2.3.).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Selon les données de la Banque mondiale, en 2017 le PIB par habitant suisse était de l'ordre de USD 80'190.- (CHF 80'590.-) et ivoirien d'environ USD 1'662.- (CHF 1'670.-) (https://donnees.banquemondiale.org/indicator/NY.GDP.PCAP.CD ; https://www.oanda.com/lang/fr/currency/converter/ au 12.11.2018). 9.4. A titre liminaire, la conclusion de l'appelant tendant à la constatation de l'aspect excessif du prononcé du maintien en détention pour motifs de sûreté le 12 septembre 2018 et ordonné en violation du principe de proportionnalité est sans objet. En effet, la CPR l'a déjà constaté dans son arrêt du 10 octobre 2018, suite au recours de l'appelant contre ladite ordonnance. La prison de ______ (GE) n'a été informée de la mise en liberté immédiate de l'appelant, prononcée par la CPR le 10 octobre 2018, que le 15 octobre 2018, soit</w:t>
      </w:r>
    </w:p>
    <w:p>
      <w:r>
        <w:t>- 28/34 - P/5515/2018 cinq jours au-delà de la décision rendue par la Présidente de la CPR. Ceci constitue certes un délai excessif au regard de l'art. 5 CEDH. La détention subie avant jugement dans la présente procédure (y compris le jour passé dans la P/3______/2018 avant jonction), de 213 jours, est de trois jours supérieurs à la peine privative de liberté de sept mois présentement confirmée. Il n'y a donc place pour une indemnisation que pour les trois jours excédant ladite peine. De nationalité ivoirienne, l'appelant vit illégalement en Suisse depuis 14 ans et dort soit chez diverses connaissances soit dans des abris de protection civile. Il est sans revenu depuis des années. Son expulsion est présentement prononcée de sorte qu'il est sensé retourner vivre dans son pays d'origine. Selon les chiffres 2017 du PIB par habitant, le niveau de vie en Côte d'Ivoire est environ 50 fois moins élevé qu'en Suisse. Vu cette différence conséquente, il se justifie d'adapter le montant de l'indemnité journalière au niveau de vie dans le pays d'origine de l'intimé. La réduction est une exception et résulte d'un calcul en équité prenant en compte toutes les circonstances. Il n'y a donc pas lieu de diviser de manière arithmétique l'indemnité journalière généralement octroyée par cinquante. Un montant journalier de CHF 50.- sera ainsi retenu car il est apte à dédommager l'intimé de son tort moral, tout en étant en adéquation avec le niveau de vie en Côte d'Ivoire. La CPAR relève, au surplus, que l'appelant n'a pas fait état de souffrances particulières, sinon celles inhérentes à toute incarcération, qui justifieraient d'augmenter ce montant. En conclusion, une indemnité pour tort moral de CHF 150.- (CHF 50.- x 3 jours) lui sera allouée. 10. L'appelant, qui succombe pour essentielle partie, supportera les 7/8èmes des frais de la procédure envers l'État (art. 428 CPP), comprenant un émolument de CHF 2'500.- (art. 428 CPP et art. 14 al. 1 lit. e du règlement fixant le tarif des frais en matière pénale du 22 décembre 2010 [RTFMP – RS/GE E 4 10.03]), le solde étant laissé à charge de l'Etat. 11. 11.1.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w:t>
      </w:r>
    </w:p>
    <w:p>
      <w:r>
        <w:t>- 29/34 - P/5515/2018 juridiction d'appel est partant compétente, au sens de l'art. 135 al. 2 CPP, pour statuer sur l'activité postérieure à sa saisine.</w:t>
      </w:r>
    </w:p>
    <w:p>
      <w:r>
        <w:t>11.2.1.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110.-. En cas d'assujettissement, l'équivalent de la TVA est versé en sus.</w:t>
      </w:r>
    </w:p>
    <w:p>
      <w:r>
        <w:t>11.2.2. À teneur de la jurisprudence, est décisif pour fixer la rémunération de l'avocat, le nombre d'heures nécessaires pour assurer la défense d'office du prévenu (arrêt du Tribunal fédéral 2C_509/2007 du 19 novembre 2007 consid. 4).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w:t>
      </w:r>
    </w:p>
    <w:p>
      <w:r>
        <w:t>- 30/34 - P/5515/2018 retenues et sont appréciées en fonction notamment de la nature, de l'importance et des difficultés de la cause, de la valeur litigieuse, de la qualité du travail fourni et du résultat obtenu.</w:t>
      </w:r>
    </w:p>
    <w:p>
      <w:r>
        <w:t>11.2.3.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Ainsi, les communications et courriers divers sont en principe inclus dans le forfait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(AARP/204/2016 du 9 mai 2016 consid. 7.3 et AARP/109/2016 du</w:t>
      </w:r>
    </w:p>
    <w:p>
      <w:r>
        <w:rPr>
          <w:b/>
        </w:rPr>
        <w:t>E. 17</w:t>
      </w:r>
    </w:p>
    <w:p>
      <w:r>
        <w:t>mars 2016 consid. 8.2.4 et 8.3.1 [rédaction du mémoire d'appel]). 11.2.4.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 11.3. En application de ces principes, il convient de retrancher de l'état de frais de Me B______ :</w:t>
      </w:r>
    </w:p>
    <w:p>
      <w:r>
        <w:t>- 31/34 - P/5515/2018  2h30 correspondant aux postes du 24 septembre 2018 "Examen du dossier" et "Rédaction d'un recours à la CPR", lesquels ne concernent pas une activité déployée devant la CPAR, saisie du dossier le 25 octobre 2018 ;  3h pour le poste "Rédaction d'appel" du 25 octobre 2018, acte qui n'a pas à être motivé et entre dans le forfait pour activités diverses ;  1h de "recherches juridiques (plaidoiries)", activité qui n'est pas indemnisée, aucune question juridique particulièrement pointue ne s'étant au demeurant posée en l'espèce dans ce dossier dénué de toute complexité. 11.4. En conclusion, l'indemnité sera arrêtée à CHF 727.55 correspondant à 5h35 d'activité au tarif de CHF 110.-/heure (CHF 614.15) plus la majoration forfaitaire de 10%, vu l'activité indemnisée en première instance (CHF 61.40) et l'équivalent de la TVA au taux de 7.7% (CHF 52.-). * * * * *</w:t>
      </w:r>
    </w:p>
    <w:p>
      <w:r>
        <w:t>- 32/34 - P/5515/2018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