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AARP/77/2017 vom 17. April 2015</w:t>
      </w:r>
    </w:p>
    <w:p>
      <w:r>
        <w:t>GE Cour de justice, 2015-04-17, FR</w:t>
      </w:r>
    </w:p>
    <w:p>
      <w:r>
        <w:rPr>
          <w:b/>
        </w:rPr>
        <w:t xml:space="preserve">Quelle: </w:t>
      </w:r>
      <w:r>
        <w:t>https://mcp.opencaselaw.ch/entscheid/ge_gerichte_AARP_77_2017</w:t>
      </w:r>
    </w:p>
    <w:p>
      <w:r>
        <w:t>FR: GE_GERICHTE AARP/77/2017 du 17 avril 2015</w:t>
      </w:r>
    </w:p>
    <w:p>
      <w:r>
        <w:t>IT: GE_GERICHTE AARP/77/2017 del 17 aprile 2015</w:t>
      </w:r>
    </w:p>
    <w:p>
      <w:pPr>
        <w:pStyle w:val="Heading2"/>
      </w:pPr>
      <w:r>
        <w:t>Erwägungen</w:t>
      </w:r>
    </w:p>
    <w:p>
      <w:r>
        <w:rPr>
          <w:b/>
        </w:rPr>
        <w:t>E. 1.1</w:t>
      </w:r>
    </w:p>
    <w:p>
      <w:r>
        <w:t>La CPAR est l'autorité compétente en matière de révision à compter du 1er janvier 2011 (art. 21 al. 1 let. b CPP cum art. 130 al. 1 let. a de la loi d'organisation judiciaire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du MP du 17 avril 2015, formée le 9 décembre 2016, est recevable au regard de ces dispositions.</w:t>
      </w:r>
    </w:p>
    <w:p>
      <w:r>
        <w:rPr>
          <w:b/>
        </w:rPr>
        <w:t>E. 2</w:t>
      </w:r>
    </w:p>
    <w:p>
      <w:r>
        <w:t>2.1.1. Celle-ci est fondée sur les dispositions de l'art. 410 al. 1 let. a CPP qui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Cette disposition reprend la double exigence posée par l'art. 385 CP, selon laquelle les faits ou moyens de preuve invoqués doivent être nouveaux et sérieux</w:t>
      </w:r>
    </w:p>
    <w:p>
      <w:r>
        <w:t>- 7/13 - P/7431/2015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Est ainsi considéré comme nouveau le fait qui existait déjà au moment du jugement mais qui n'a été révélé qu'ensuite (arrêt du Tribunal fédéral 6B_455/2011 du 29 novembre 2011 consid. 1.3).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 fait que le requérant a eu connaissance des faits ou moyens de preuve au moment du jugement de condamnation n'importe pas (ATF 130 IV 72 consid. 2.2 p. 74 ; ATF 116 IV 353 consid. 3a p. 357 ; ATF 69 IV 134 consid. 4 p. 138). Les faits ou moyens de preuve sont sérieux lorsqu'ils sont propres à ébranler les constatations de fait sur lesquelles se fonde la condamnation et que l'état de fait ainsi modifié est susceptible d'influer de manière significative sur la qualification juridique ou sur la quotité de la peine du condamné (L. MOREILLON / A. PAREIN-REYMOND, Petit commentaire CPP, Bâle 2016, n. 20 ad art. 410).</w:t>
      </w:r>
    </w:p>
    <w:p>
      <w:r>
        <w:t>2.1.2. Au stade de l'examen des motifs de révision (phase du rescindant),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(arrêt du Tribunal fédéral 6B_866/2014 du 26 février 2015 consid. 2.1 et les références citées).</w:t>
      </w:r>
    </w:p>
    <w:p>
      <w:r>
        <w:rPr>
          <w:b/>
        </w:rPr>
        <w:t>E. 2.2</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note 8 ad art. 413).</w:t>
      </w:r>
    </w:p>
    <w:p>
      <w:r>
        <w:rPr>
          <w:b/>
        </w:rPr>
        <w:t>E. 2.3</w:t>
      </w:r>
    </w:p>
    <w:p>
      <w:r>
        <w:t>En l'espèce, le requérant, partie plaignante, allègue, en substance, que la diminution de sa fonction olfactive ne résulte pas uniquement d'une rhino-sinusite chronique mais également d'un traumatisme neurologique causé par les coups portés</w:t>
      </w:r>
    </w:p>
    <w:p>
      <w:r>
        <w:t>- 8/13 - P/7431/2015 par l'intimé. Cet élément, inconnu du MP, doit être qualifié de nouveau dans la mesure où, si la lésion neurologique était présente au moment de l'instruction de la cause, son ampleur, ou plutôt ses conséquences, ne pouvaient être détectées que par la persistance des symptômes de ce qui s'est révélé être une parosmie alors que la rhino-sinusite était soignée, ce que rend vraisemblable l'attestation du 19 juillet 2016. Ces éléments apparaissent en outre comme sérieux puisqu'ils ébranlent l'état de fait retenu par le MP dans son ordonnance de condamnation du 17 avril 2015 et qu'il n'est pas exclu qu'ils aient une influence sur la qualification juridique et sur la peine encourue. Il s'agit là de questions de droit matériel que le juge de la révision ne saurait instruire sans éluder, notamment, les principes du double degré de juridiction ou de la maxime accusatoire. L'ordonnance entreprise sera par conséquent annulée et la cause renvoyée au MP, à charge pour lui de rouvrir l'instruction, de compléter la mise en prévention de l'intimé et d'ordonner les compléments d'enquête nécessaires, notamment avec la mise en œuvre d'une expertise médicale.</w:t>
      </w:r>
    </w:p>
    <w:p>
      <w:r>
        <w:rPr>
          <w:b/>
        </w:rPr>
        <w:t>E. 2.4</w:t>
      </w:r>
    </w:p>
    <w:p>
      <w:r>
        <w:t>Vu l'admission de la demande, l'ordonnance du MP du 17 avril 2015 sera annulée et radiée du casier judiciaire de C_______.</w:t>
      </w:r>
    </w:p>
    <w:p>
      <w:r>
        <w:rPr>
          <w:b/>
        </w:rPr>
        <w:t>E. 3</w:t>
      </w:r>
    </w:p>
    <w:p>
      <w:r>
        <w:t>Vu l’issue du litige, l'émolument de l'ordonnance pénale du MP du 17 avril 2015 et les frais de la procédure de révision seront laissés à la charge de l’Etat (art. 428 al. 4 et al. 5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de CHF 200.- pour le chef d'étude (let. c). En cas d'assujettissement, l'équivalent de la TVA est versé en sus.</w:t>
      </w:r>
    </w:p>
    <w:p>
      <w:r>
        <w:t>- 9/13 - P/7431/2015</w:t>
      </w:r>
    </w:p>
    <w:p>
      <w:r>
        <w:t>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- 10/13 - P/7431/2015</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109 Ia 107 consid. 3b p. 111 ; arrêt du Tribunal fédéral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t>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w:t>
      </w:r>
    </w:p>
    <w:p>
      <w:r>
        <w:t>4.2.4.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w:t>
      </w:r>
    </w:p>
    <w:p>
      <w:r>
        <w:t>- 11/13 - P/7431/2015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4.3.1. En l'occurrence, en application de ces principes, il convient de retrancher de l'état de frais produit par Me B_______, nommé par la CPAR conseil juridique gratuit de A_______ avec effet au 9 décembre 2016 : • 90 minutes du poste "Rédaction demande en révision", une durée de 180 minutes étant suffisante pour la production de moins de quatre pages d'écritures ; • 30 minutes du poste "Consultation dossier au greffe", le dossier de la CPAR étant très peu volumineux et les parties s'étant vu adresser au fur-et-à-mesure leurs écritures respectives, celui du MP tenant quant à lui dans une simple fourre et étant pour le surplus censé être connu ; • 90 minutes des postes "Rédaction réplique" et "Corrections et rédaction définitive réplique", une durée globale de 240 minutes s'avérant suffisante pour la rédaction de six pages d'écritures.</w:t>
      </w:r>
    </w:p>
    <w:p>
      <w:r>
        <w:t>4.3.2. En conclusion, l'indemnité sera arrêtée à CHF 2'376.- correspondant à 9h10 d'activité au tarif de CHF 200.-/heure (CHF 1'833.-) plus la majoration forfaitaire de 20% (CHF 367.-) et l'équivalent de la TVA au taux de 8% en CHF 176.-. 4.4.1. L'état de frais déposé par Me D_______, nommée d'office pour la défense des intérêts de C_______ avec effet au 23 décembre 2016, est en adéquation avec la nature, l'importance et la difficulté de la cause, à l'exception de 30 minutes pour des recherches juridiques, activité non indemnisée par l'assistance juridique. 4.4.2. L'indemnité sera partant arrêtée à CHF 1'490.40 correspondant à 5h45 d'activité au tarif de CHF 200.-/heure (CHF 1'150.-) plus la majoration forfaitaire de 20% (CHF 230.-) et l'équivalent de la TVA au taux de 8% (CHF 110.40). * * * * *</w:t>
      </w:r>
    </w:p>
    <w:p>
      <w:r>
        <w:t>- 12/13 - P/7431/2015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