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AARP/77/2014 vom 28. Februar 2014</w:t>
      </w:r>
    </w:p>
    <w:p>
      <w:r>
        <w:t>GE Cour de justice, 2014-02-28, FR</w:t>
      </w:r>
    </w:p>
    <w:p>
      <w:r>
        <w:rPr>
          <w:b/>
        </w:rPr>
        <w:t xml:space="preserve">Quelle: </w:t>
      </w:r>
      <w:r>
        <w:t>https://mcp.opencaselaw.ch/entscheid/ge_gerichte_AARP_77_2014</w:t>
      </w:r>
    </w:p>
    <w:p>
      <w:r>
        <w:t>FR: GE_GERICHTE AARP/77/2014 du 28 février 2014</w:t>
      </w:r>
    </w:p>
    <w:p>
      <w:r>
        <w:t>IT: GE_GERICHTE AARP/77/2014 del 28 febbraio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Les actes visés par l'art. 19 ch.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 complicité implique que l'assistance prêtée à autrui en vue d'une infraction se limite à une contribution subalterne ne constituant pas elle-même une infraction sui</w:t>
      </w:r>
    </w:p>
    <w:p>
      <w:r>
        <w:t>- 10/17 - P/14518/2012 generis. Tel est, par exemple, le cas de celui qui met à disposition un véhicule pour le transport de stupéfiants, qui aide à aménager une cachette dans une voiture (ATF 106 IV 72 consid. b p. 73) ou qui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2.1.2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B. CORBOZ, Les infractions en droit suisse,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- 11/17 - P/14518/2012 (arrêts du Tribunal fédéral 6B_623/2012 du 6 février 2013 consid. 2.1 et 6B_642/2012 du 22 janvier 2013 consid. 1.1).</w:t>
      </w:r>
    </w:p>
    <w:p>
      <w:r>
        <w:rPr>
          <w:b/>
        </w:rPr>
        <w:t>E. 2.3</w:t>
      </w:r>
    </w:p>
    <w:p>
      <w:r>
        <w:t>En l'espèce, il est établi que G______ était impliqué dans un trafic de cocaïne et conditionnait la drogue en vue de l'ingestion par B______. Cette dernière avait été recrutée pour servir de mule entre l'Espagne et la Suisse. A______ devait recevoir la drogue transportée par la mule à Genève et la distribuer. L'élément qui est le lien entre toutes ces personnes est l'appelante. Elle connaissait la nature des voyages. Son rôle était véritablement actif. Elle était qualifiée de "cerveau" par B______. Elle s'occupait de la logistique nécessaire au transport et à l'expulsion de la drogue. Elle choisissait le vol que devait emprunter la mule et lui fournissait l'argent nécessaire à l'achat du billet. Elle accueillait la mule à son arrivée à Genève, ayant préalablement cherché l'endroit approprié et apporté le matériel nécessaire à l'expulsion de la marchandise. Elle emmenait ensuite la mule au lieu choisi et remettait la drogue à son prochain destinataire. À cet égard, ses explications quant à l'utilisation du seau en tant qu'outil pour laver ses habits sont, à l'évidence, farfelues. Bien au contraire, il devait servir de réceptacle pour l'expulsion de la cocaïne. De plus, l'appelante était en contact téléphonique constant avec B______ et G______. Elle parlait très librement avec ce dernier, au-delà de leur relation intime qui était terminée depuis plus d'une année. Elle était donc la personne responsable de la mule, achetant, qui plus est, les billets de train de retour pour les deux personnes. Son rôle peut, en effet, être qualifié d'intermédiaire. Il n'empêche qu'elle avait un rôle important dans le réseau et qu'elle participait pleinement à l'organisation du transport de la cocaïne. S'agissant d'un trafic d'environ un kilogramme pour une qualité de drogue moyenne, la condition aggravante est remplie. L'infraction est d'autant plus grave que l'appelante a, sciemment, fait courir des risques très importants à B______, mettant la vie de cette dernière en jeu pour servir ses propres intérêts.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w:t>
      </w:r>
    </w:p>
    <w:p>
      <w:r>
        <w:t>- 12/17 - P/14518/2012 application de cette ancienne disposition conserve toute sa valeur, de sorte que l'on peut continuer à s'y référer (arrêt du Tribunal fédéral 6B_992/2008 du 5 mars 2009 consid. 5.1). 3.2.1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w:t>
      </w:r>
    </w:p>
    <w:p>
      <w:r>
        <w:t>- 13/17 - P/14518/2012 qui, à ce défaut, seraient restés obscurs (ATF 121 IV 202 consid. 2d/aa p. 204 ; 118 IV 342 consid. 2d p. 349).</w:t>
      </w:r>
    </w:p>
    <w:p>
      <w:r>
        <w:rPr>
          <w:b/>
        </w:rPr>
        <w:t>E. 3.2</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3.3.1 En l'espèce, la faute de l'appelante est importante. Elle a activement participé à un trafic de stupéfiants, néfaste pour la santé publique et n'a pas hésité à faire courir des risques graves à la mule. Sa collaboration à la procédure est moyenne. Elle a certes admis avoir participé à un trafic international de drogue, mais ses explications n'ont cessé de varier. Ses mobiles, futiles, relèvent de l'appât du gain et d'histoires de cœur. Elle n'est pas toxicomane et avait d'autres choix que de tomber dans la criminalité. Elle avait un emploi et était logée par sa famille. Sa prise de conscience est limitée, vu son refus d'admettre avoir joué un rôle prépondérant dans le trafic de stupéfiant. 3.3.2 Une comparaison avec les peines infligées aux co-prévenus de l'appelante ne peut guère être effectuée qu'avec beaucoup de circonspection, vu les spécificités de la procédure simplifiée à laquelle ceux-ci ont adhéré, contrairement à l'appelante. Il demeure que, sans pouvoir prétendre à un traitement identique à celui de A______, l'appelante ne saurait pour autant se voir infliger une peine beaucoup plus lourde que</w:t>
      </w:r>
    </w:p>
    <w:p>
      <w:r>
        <w:t>- 14/17 - P/14518/2012 celui-ci alors que leur degré d'implication apparaît comparable, l'intéressé étant le destinataire de la drogue. De ce point de vue, la peine infligée par les premiers juges apparaît excessive et sera partant réduite à 36 mois. 3.3.3 Le pronostic quant au comportement futur de l'appelante n'est pas défavorable, elle a acquis durant sa détention une formation et a un foyer familial qu'elle peut rejoindre. Elle peut donc bénéficier du sursis partiel. Vu sa faute sérieuse et sa prise de conscience limitée, une division par moitié de la peine entre la partie ferme et celle assortie du sursis est équitable. Eu égard à sa situation, notamment quant à son entourage, encore peu stable, et à la faible prise de conscience, un délai de mise à l'épreuve de quatre ans est indispensable pour la dissuader de ne plus se livrer à des actes criminels.</w:t>
      </w:r>
    </w:p>
    <w:p>
      <w:r>
        <w:rPr>
          <w:b/>
        </w:rPr>
        <w:t>E. 4</w:t>
      </w:r>
    </w:p>
    <w:p>
      <w:r>
        <w:t>L'appelante, qui obtient partiellement gain de cause, supportera un quart les frais de la procédure envers l'État, comprenant un émolument de jugement de CHF 1'200.- (art. 14 al. 1 let. e du règlement fixant le tarif des frais en matière pénale du 22 décembre 2010 [RTFMP ; RS E 4 10.03]). * * * * *</w:t>
      </w:r>
    </w:p>
    <w:p>
      <w:r>
        <w:t>- 15/17 - P/14518/2012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