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AARP/76/2025 vom 4. März 2025</w:t>
      </w:r>
    </w:p>
    <w:p>
      <w:r>
        <w:t>GE Cour de justice, 2025-03-04, FR</w:t>
      </w:r>
    </w:p>
    <w:p>
      <w:r>
        <w:rPr>
          <w:b/>
        </w:rPr>
        <w:t xml:space="preserve">Quelle: </w:t>
      </w:r>
      <w:r>
        <w:t>https://mcp.opencaselaw.ch/entscheid/ge_gerichte_AARP_76_2025</w:t>
      </w:r>
    </w:p>
    <w:p>
      <w:r>
        <w:t>FR: GE_GERICHTE AARP/76/2025 du 4 mars 2025</w:t>
      </w:r>
    </w:p>
    <w:p>
      <w:r>
        <w:t>IT: GE_GERICHTE AARP/76/2025 del 4 marzo 2025</w:t>
      </w:r>
    </w:p>
    <w:p>
      <w:pPr>
        <w:pStyle w:val="Heading2"/>
      </w:pPr>
      <w:r>
        <w:t>Erwägungen</w:t>
      </w:r>
    </w:p>
    <w:p>
      <w:r>
        <w:rPr>
          <w:b/>
        </w:rPr>
        <w:t>E. 1</w:t>
      </w:r>
    </w:p>
    <w:p>
      <w:r>
        <w:t>1.1.1. La CPAR est l'autorité compétente en matière de révision (art. 21 al. 1 let. b du Code de procédure pénale [CPP] cum art. 130 al. 1 let. a de la Loi d'organisation judiciaire [LOJ]). 1.1.2. L'art. 388 al. 2 CPP, qui fait partie des dispositions générales des "Voies de recours" (prévues au titre 9 du CPP et englobant la révision), prévoit que le magistrat</w:t>
      </w:r>
    </w:p>
    <w:p>
      <w:r>
        <w:t>- 6/10 - P/143/1999 de la juridiction d'appel exerçant la direction de la procédure peut décider de ne pas entrer en matière sur les recours manifestement irrecevables (let. a) ou dont la motivation est manifestement insuffisante (let. b).</w:t>
      </w:r>
    </w:p>
    <w:p>
      <w:r>
        <w:rPr>
          <w:b/>
        </w:rPr>
        <w:t>E. 1.2</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Les faits ou moyens de preuves sont nouveaux lorsque le juge n'en a pas eu connaissance au moment où il s'est prononcé, c'est-à-dire lorsqu'ils ne lui ont pas été soumis sous quelque forme que ce soit (ATF 137 IV 59 consid. 5.1.2 p. 66 s. ; 130 IV 72 consid. 1. p. 73). Les faits et moyens de preuve sont sérieux lorsqu'ils sont propres à ébranler les constatations de fait sur lesquelles se fonde la condamnation et que l'état de fait ainsi modifié rend possible un jugement sensiblement plus favorable au condamné (ATF 145 IV 197 consid. 1.1 ; 137 IV 59 consid. 5.1.4 p. 6 ; 130 IV 72 consid. 1 p. 73 ; arrêt du Tribunal fédéral 6B_731/2013 du 28 novembre 2013 consid. 3.1.2).</w:t>
      </w:r>
    </w:p>
    <w:p>
      <w:r>
        <w:rPr>
          <w:b/>
        </w:rPr>
        <w:t>E. 1.3</w:t>
      </w:r>
    </w:p>
    <w:p>
      <w:r>
        <w:t>La demande en révision en raison de faits ou de moyens de preuve nouveaux n'est soumise à aucun délai (art. 411 al. 2 in fine CPP).</w:t>
      </w:r>
    </w:p>
    <w:p>
      <w:r>
        <w:rPr>
          <w:b/>
        </w:rPr>
        <w:t>E. 1.4</w:t>
      </w:r>
    </w:p>
    <w:p>
      <w:r>
        <w:t>L'art. 412 CPP prévoit que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La procédure de non-entrée en matière de l'art. 412 al. 2 CPP est en principe réservée à des vices de nature formelle. Il est toutefois également possible de prononcer une décision de non-entrée en matière lorsque les motifs de révision invoqués sont manifestement non vraisemblables ou infondés (ATF 143 IV 122 consid. 3.5 ; arrêts du Tribunal fédéral 6B_1122/2020 du 6 octobre 2021 consid. 2.2.2 ; 6B_1197/2020 du 19 juillet 2021 consid. 1.1) ou encore lorsque la demande de révision apparaît abusive (arrêts du Tribunal fédéral 6B_1122/2020 précité consid. 2.2.2 ; 6B_813/2020 du 22 juillet 2020 consid. 1.1). Le refus d'entrer en matière s'impose alors pour des motifs d'économie de procédure, car si la situation est évidente, il n'y a pas de raison que l'autorité requière des déterminations (art. 412 al. 3 CPP) pour ensuite rejeter la demande (art. 413 al. 1 CPP ; arrêts du Tribunal fédéral 6B_32/2022 du 5 mai 2022 consid. 1.4 ; 6B_1122/2020 précité consid. 2.2.2 ; 6B_1197/2020 précité consid. 1.1).</w:t>
      </w:r>
    </w:p>
    <w:p>
      <w:r>
        <w:rPr>
          <w:b/>
        </w:rPr>
        <w:t>E. 2</w:t>
      </w:r>
    </w:p>
    <w:p>
      <w:r>
        <w:t>En l'espèce, la demande en révision apparaît d'emblée infondée.</w:t>
      </w:r>
    </w:p>
    <w:p>
      <w:r>
        <w:t>- 7/10 - P/143/1999 Aucuns faits ou moyens de preuves nouveaux ne sont valablement invoqués. La scène de crime a été figée par la police, en particulier la bouteille de vin et un verre retrouvés sur les lieux. Si leur contenu n'a pas été spécifiquement analysé, c'est bien par choix opérationnel dans le cadre de l'enquête préliminaire, puis en l'absence d'une requête motivée d'une partie, singulièrement du prévenu, qui, plus de 25 ans après les faits, voit là un élément déterminant qu'il invoque à décharge. Son allégation se heurte à l'évidente absence de nouveauté du moyen de preuve qu'il aurait souhaité voir administrer, alors qu'on ne voit pas ce que la révélation d'empreintes digitales sur les contenants en cause – outre que là aussi, il n'y a aucune nouveauté – aurait pu amener compte tenu des investigations menées. Le prévenu aurait eu à de nombreuses occasions au cours de la procédure, et encore en dernier lieu devant la CPAR saisie de son appel, la possibilité de requérir un complément de preuve, si tant est que l'analyse en cause et la recherche d'empreintes digitales auraient été pertinentes et nécessaires au traitement de son appel (cf. art. 139 CPP et 389 al. 3 CPP). Le fait est qu'il n'a jamais sollicité ces examens et qu'il est donc malvenu de s'en plaindre aujourd'hui, alors que sa demande de révision ne remplit manifestement pas les conditions d'une entrée en matière. Il peut encore être observé que ni l'expert psychiatre, ni les derniers juges n'ont été confrontés à des éléments devant les amener à douter de la responsabilité du prévenu (cf. art. 20 du Code pénal [CP]), lequel avait soigneusement nettoyé la scène de crime, cherchant à effacer ses traces après l'assassinat de D______, et s'était débarrassé de son couteau, ce qui ne témoigne pas de l'attitude d'un auteur qui ne serait plus maître de ses faits et gestes. Enfin, le prévenu ne fait que réitérer les explications données aux tribunaux au sujet, d'une part, de la tentative de viol dont il aurait eu à souffrir de la part du précité, d'autre part de sa réaction, lesquelles ont été écartées tant par les premiers juges que par les juges d'appel, sans que le Tribunal fédéral n'y trouve à redire (cf. ATF 141 IV 61, considérants non publiés 2.3, 2.5 et 5). Il s'ensuit qu'il ne sera pas entré en matière sur la demande de révision, qui doit être déclarée irrecevable.</w:t>
      </w:r>
    </w:p>
    <w:p>
      <w:r>
        <w:rPr>
          <w:b/>
        </w:rPr>
        <w:t>E. 3.1</w:t>
      </w:r>
    </w:p>
    <w:p>
      <w:r>
        <w:t>Le Président de la CPAR est compétent pour nommer un défenseur d'office (art. 388 let. c CPP), pour autant que les conditions liées à l'octroi de l'assistance judiciaire soient remplies.</w:t>
      </w:r>
    </w:p>
    <w:p>
      <w:r>
        <w:t>- 8/10 - P/143/1999</w:t>
      </w:r>
    </w:p>
    <w:p>
      <w:r>
        <w:rPr>
          <w:b/>
        </w:rPr>
        <w:t>E. 3.2</w:t>
      </w:r>
    </w:p>
    <w:p>
      <w:r>
        <w:t>Au vu du caractère infondé de la demande de révision, celle-ci étant manifestement vouée à l'échec, il ne se justifiait pas de nommer un défenseur d'office en faveur de A______ (art. 29 al. 3 de la Constitution fédérale).</w:t>
      </w:r>
    </w:p>
    <w:p>
      <w:r>
        <w:rPr>
          <w:b/>
        </w:rPr>
        <w:t>E. 4.1</w:t>
      </w:r>
    </w:p>
    <w:p>
      <w:r>
        <w:t>Les frais de la procédure de recours sont mis à la charge des parties dans la mesure où elles ont obtenu gain de cause ou succombé. La partie dont le recours est irrecevable ou qui retire le recours est considérée avoir succombé (art. 428 al. 1 CPP).</w:t>
      </w:r>
    </w:p>
    <w:p>
      <w:r>
        <w:rPr>
          <w:b/>
        </w:rPr>
        <w:t>E. 4.2</w:t>
      </w:r>
    </w:p>
    <w:p>
      <w:r>
        <w:t>Vu l'issue de la procédure, le demandeur sera condamné aux frais, lesquels comprendront un émolument de jugement (art. 14 al. 1 let. b du Règlement fixant le tarif des frais en matière pénale [RTFMP]), limité à CHF 300.- compte tenu de sa situation personnelle qui n'apparaît pas favorable (art. 425 CPP). * * * * *</w:t>
      </w:r>
    </w:p>
    <w:p>
      <w:r>
        <w:t>- 9/10 - P/143/1999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