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AARP/75/2018 vom 8. November 2017</w:t>
      </w:r>
    </w:p>
    <w:p>
      <w:r>
        <w:t>GE Cour de justice, 2017-11-08, FR</w:t>
      </w:r>
    </w:p>
    <w:p>
      <w:r>
        <w:rPr>
          <w:b/>
        </w:rPr>
        <w:t xml:space="preserve">Quelle: </w:t>
      </w:r>
      <w:r>
        <w:t>https://mcp.opencaselaw.ch/entscheid/ge_gerichte_AARP_75_2018</w:t>
      </w:r>
    </w:p>
    <w:p>
      <w:r>
        <w:t>FR: GE_GERICHTE AARP/75/2018 du 8 novembre 2017</w:t>
      </w:r>
    </w:p>
    <w:p>
      <w:r>
        <w:t>IT: GE_GERICHTE AARP/75/2018 del 8 novembre 2017</w:t>
      </w:r>
    </w:p>
    <w:p>
      <w:pPr>
        <w:pStyle w:val="Heading2"/>
      </w:pPr>
      <w:r>
        <w:t>Erwägungen</w:t>
      </w:r>
    </w:p>
    <w:p>
      <w:r>
        <w:rPr>
          <w:b/>
        </w:rPr>
        <w:t>E. 1</w:t>
      </w:r>
    </w:p>
    <w:p>
      <w:r>
        <w:t>L'appel et l'appel joint sont recevables pour avoir été interjetés et motivés selon la forme et dans les délais prescrits (art. 398, 399 et 400 al. 3 let. b CPP).</w:t>
      </w:r>
    </w:p>
    <w:p>
      <w:r>
        <w:t>- 6/16 - P/18758/2017</w:t>
      </w:r>
    </w:p>
    <w:p>
      <w:r>
        <w:t>La partie qui attaque seulement certaines parties du jugement est tenue d'indiquer dans la déclaration d'appel, de manière définitive, sur quelles parties porte l'appel, à savoir en l'espèce la quotité de la peine (art. 399 al. 4 let. b CPP). La Chambre limite son examen aux violations décrites dans l'acte d'appel (art. 404 al. 1 CPP), sauf en cas de décisions illégales ou inéquitables (art. 404 al. 2 CPP).</w:t>
      </w:r>
    </w:p>
    <w:p>
      <w:r>
        <w:rPr>
          <w:b/>
        </w:rPr>
        <w:t>E. 2.1</w:t>
      </w:r>
    </w:p>
    <w:p>
      <w:r>
        <w:t>L'appelant ne conteste à juste titre pas sa culpabilité pour vol d'importance mineure (139 cum 172ter CP) et pour violation de domicile (186 CP), laquelle repose sur les circonstances de son interpellation, ses aveux (160 CPP) et un modus operandi qui lui est familier au vu de ses trois condamnations pour des faits spécifiques.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2.2.2. La bonne collaboration à l'enquête peut constituer un élément favorable pour la fixation de la peine dans le cadre ordinaire de l'art. 47 CP. Un geste isolé ou dicté par l'approche du procès pénal ne suffit pas (ATF 107 IV 98 consid. 1 p. 99). 2.2.3. La récidive joue un rôle très important dans la fixation de la peine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w:t>
      </w:r>
    </w:p>
    <w:p>
      <w:r>
        <w:t>- 7/16 - P/18758/2017 accrue (R. ROTH / L. MOREILLON [éds]), Code pénal I : art. 1-100 CP, Bâle 2009, n. 55 ad art. 47 CP). Il en va de même des antécédents étrangers (ATF 105 IV 225 consid. 2 p. 226).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2.3.1.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2.3.2. Le nouveau droit des sanctions, entré en vigueur le 1er janvier 2018, permet le prononcé d’une peine privative de liberté même courte, si elle paraît justifiée pour détourner l’auteur d’autres crimes ou s’il y a lieu de craindre qu’une peine pécuniaire ne puisse pas être exécutée, sans que les conditions du sursis doivent être exclues, comme le prévoit l’art. 41 al. 1 CP. Il est ainsi plus sévère sur ce plan et ne sera par conséquent pas pris en considération (art. 2 al. 2 CP). 2.3.3.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ATF 142 IV 265 consid. 2.3.3 p. 268 = JdT 2017 IV 129).</w:t>
      </w:r>
    </w:p>
    <w:p>
      <w:r>
        <w:t>- 8/16 - P/18758/2017</w:t>
      </w:r>
    </w:p>
    <w:p>
      <w:r>
        <w:rPr>
          <w:b/>
        </w:rPr>
        <w:t>E. 2.4</w:t>
      </w:r>
    </w:p>
    <w:p>
      <w:r>
        <w:t>En l'espèce, la faute de l'appelant n'est pas négligeable. Il a volontairement ignoré trois interdictions d'entrée dans les magasins D______, dont il connaissait la teneur, et ce, dans le but égoïste de dérober des bouteilles d'alcool, destinées prétendument à sa consommation personnelle, ce dont il y a toutefois lieu de douter vu le nombre de bouteilles d'alcool fort en question et les butins lui ayant valu ses condamnations des ___ et ___ août, ainsi que du ___ septembre 2017. Certes, il a allégué que les dures souffrances liées à sa malformation pouvaient être atténuées grâce à l'alcool, ce qu'il n'a toutefois nullement étayé, étant relevé qu'au moment de son interpellation il n'y avait nulle trace d'alcool dans son haleine. Il n'allègue ni a fortiori n'étaie avoir consulté le Service médical de la prison, notamment pour se procurer des antidouleurs, ce qui mène à douter de l'intensité de ses souffrances et de sa volonté de trouver une façon médicalisée de les soulager. Sa collaboration peut être qualifiée de bonne, dans la mesure où il a admis les faits reprochés et qu'il savait qu'il lui avait été fait interdiction de pénétrer dans les magasins D______. Il eût néanmoins été difficile de les contester vu les circonstances de son interpellation. Sa situation personnelle n'est assurément pas favorable, mais elle n'excuse pas de pénétrer dans des magasins pour commettre des vols d'alcool. Arrivé en Suisse en juin 2017, il a déjà été condamné à trois reprises, pour des faits similaires, démontrant sa volonté persistante et affichée à se moquer des interdictions d'entrer dans des commerces de l'enseigne D______, à moult reprises, pour y dérober des marchandises. Ses précédentes interpellations, sur quelques jours seulement, pas plus que les peines prononcées, toutes assorties du sursis de manière surprenante malgré deux récidives dans le premier délai d'épreuve fixé, n'ont manifestement pas eu d'impact sur les intentions délictuelles de l'appelant. Vu le manque d'effet des condamnations précédentes, auquel s'ajoute une situation personnelle précaire et l'absence de tout revenu avéré autre que celui provenant d'infractions contre le patrimoine, le pronostic de l'appelant est clairement défavorable, ce qu'il ne conteste d'ailleurs pas en appel. Seule une peine privative de liberté ferme s'avère désormais appropriée. La quotité de trois mois, que la CPAR peut revoir ab ovo compte tenu de l'appel joint du Ministère public, s'avère adaptée à la faute et à la situation personnelle de l'appelant, de sorte qu'elle sera confirmée. Elle tiendra en outre compte de ce qu'elle est désormais complémentaire à celle prononcée le ___ novembre 2017.</w:t>
      </w:r>
    </w:p>
    <w:p>
      <w:r>
        <w:rPr>
          <w:b/>
        </w:rPr>
        <w:t>E. 3</w:t>
      </w:r>
    </w:p>
    <w:p>
      <w:r>
        <w:t>3.1.1. Conformément à l'art. 66a al. 1 let. d CP, le juge expulse un étranger du territoire suisse pour une durée de cinq à quinze ans s'il est reconnu coupable de vol</w:t>
      </w:r>
    </w:p>
    <w:p>
      <w:r>
        <w:t>- 9/16 - P/18758/2017 (art. 139 CP) en lien avec une violation de domicile (art. 186 CP). Aux termes de l'art. 105 al. 1 CP, les dispositions sur l'expulsion (art. 66a à 66d CP) ne s'appliquent pas en cas de contravention. 3.1.2. A teneur de l'art. 66abis CP, applicable aux infractions commises à partir du 1er octobre 2016, le juge peut expulser un étranger du territoire suisse pour une durée de trois à quinze ans si, pour un crime ou un délit non visé à l'art. 66a CP, celui-ci a été condamné à une peine ou a fait l'objet d’une mesure au sens des art. 59 à 61 ou 64 CP. Contrairement à ce qui prévaut en matière d'expulsion obligatoire au sens de l'art. 66a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Landesverweisung nach Art. 66a StGB als strafrechtliche Sanktion, cahier spécial, Plädoyer 5/16, p. 84 et 87 ; K. KÜMIN, Darf eine Aufenthaltsbewilligung widerrufen werden, nachdem von einer Landesverweisung abgesehen wurde ?, Jusletter 28 novembre 2016, p. 14). Concernant le premier volet, le juge considérera pour commencer la quotité de la peine : plus lourde sera celle-ci et plus grand sera l'intérêt public à expulser l'étranger (M. BUSSLINGER / P. UEBERSAX, Härtefallklausel und migrationsrechtliche Auswirkungen der Landesverweisung, cahier spécial, Plaidoyer 5/2016,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p. 103). Quoiqu'il en soit, l'intérêt privé de l'intéressé à rester en Suisse devra s'analyser sans perdre de vue que les dispositions de la CEDH restent contraignantes (ATF 139 I 16 consid. 4.2. et 5 ss ; M. BUSSLINGER / P. UEBERSAX, op. cit., p. 97 ; K. KÜMIN, op. cit., p. 14 ; G. MÜNCH / F. DE WECK, Die neue Landesverweisung, in Art. 66a ff. StGB, Revue de l'avocat 2016, p. 166, en particulier l'art. 8 CEDH). La jurisprudence rendue sur l'art. 8 CEDH est ainsi applicable à la pesée des intérêts de l'art. 66abis CP, avec comme critères déterminants : la gravité de l'infraction, la culpabilité de l'auteur, le temps écoulé depuis l'infraction, le comportement de celui- 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p. 166). Les antécédents judiciaires antérieurs au 1er octobre 2016 sont aussi à prendre en considération, y compris les antécédents de droit pénal des mineurs. L'intégration de l'intéressé doit, quant à elle, être examinée,</w:t>
      </w:r>
    </w:p>
    <w:p>
      <w:r>
        <w:t>- 10/16 - P/18758/2017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p. 102). Dans un arrêt PAPOSHVILI c/ Belgique du 13 décembre 2016 (Grande Chambre, requête no 41738/10), la Cour européenne des droits de l'homme a considéré que l'expulsion d'un criminel gravement malade (atteint notamment d'une leucémie avec pronostic vital engagé et d'une hépatite C) vers la Géorgie était contraire à l'art. 3 de la Convention de sauvegarde des droits de l’homme et des libertés fondamentales du</w:t>
      </w:r>
    </w:p>
    <w:p>
      <w:r>
        <w:rPr>
          <w:b/>
        </w:rPr>
        <w:t>E. 3.2</w:t>
      </w:r>
    </w:p>
    <w:p>
      <w:r>
        <w:t>En l'espèce, l'appelant est condamné pour violation de domicile (186 CP) ainsi que pour vol d'importance mineure (139 cum 172ter CP), à savoir une contravention, pour laquelle une expulsion obligatoire ne peut être prononcée. Le vol seul n'est pas prévu dans le catalogue des infractions du catalogue de l'art. 66a CP. L'appelant ne peut dès lors être expulsé sur la base de cette disposition. Il peut en revanche faire l'objet d'une expulsion facultative au sens de l'art. 66abis CP dont les deux conditions cumulatives sont réalisées, soit la commission d'un délit et le prononcé d'une peine. Seule la pesée des intérêts en présence doit donc encore être effectuée pour décider de l'application de l'art. 66abis CP au cas d'espèce. Si la violation de domicile au détriment d'un magasin de grande surface ne peut être qualifiée d'infraction grave, il s'agit en l'espèce de la quatrième qui est reprochée à l'appelant, en moins de trois semaines, systématiquement en lien avec le vol de marchandises qui ne sont pas de première nécessité. Il a ainsi persisté dans son activité illégale, malgré les multiples avertissements constitués par les arrestations et peines précédentes. Le risque de récidive est très élevé compte tenu de sa situation personnelle de sorte qu'il existe un fort intérêt public à l'expulser. S'agissant de son intérêt privé à rester en Suisse, force est de constater qu'il n'y a aucune attache et, dès lors, aucun intérêt personnel à rester. Après le dépôt de sa demande d'asile, il est entrée dans la clandestinité. Sa demande d'asile a été préavisée pour une non-entrée en matière, ce qui ne peut lui donner un droit à des soins, non urgents, sur le territoire. Il n'est pas intégré en Suisse, ne parle aucune langue nationale, et le centre de ses intérêts se trouve en ______. Certes, il allègue avoir besoin de traitements médicaux et s'est fait prescrire de la méthadone au moment de son interpellation du ___ septembre 2017. Il a néanmoins également déclaré qu'il en bénéficiait en ______ et n'a nullement démontré qu'il</w:t>
      </w:r>
    </w:p>
    <w:p>
      <w:r>
        <w:t>- 11/16 - P/18758/2017 aurait entrepris des démarches en vue de la prise en charge d'une intervention chirurgicale dont il aurait besoin en raison de malformations de naissance. Au vu de ce qui précède, rien ne permet de retenir qu'un renvoi de l'appelant dans son pays d'origine serait de nature à aggraver son état de santé. Sa situation n'est par conséquent pas comparable avec celle traitée par la Cour européenne dans la cause PAPOSHVILI c/ Belgique citée plus haut, où le requérant, vivant en Belgique avec sa famille depuis les années 1990, souffrait notamment d'une leucémie avec un pronostic vital engagé. Même si les infractions commises par l'appelant sont d'une gravité relative, force est de constater qu'il s'est adonné au vol dès son arrivée en Suisse, considérant une telle activité comme une façon admissible de se procurer de l'argent. Il n'a pas soutenu qu'il existerait en ______ un état de guerre ni, par exemple, d'épidémie répandue, soit des circonstances de nature à mettre en danger sa vie ou son intégrité. Enfin, il ressort de l'arrêt de la Cour européenne des droits de l'homme cité ci-dessus que, depuis 2013 en tout cas, la ______ a institué une assurance maladie généralisée et que l'on peut, dans ce pays, disposer des soins médicaux et pharmaceutiques nécessaires. En conclusion, l'intérêt public au renvoi de l'appelant en ______ prime sur l'intérêt de celui-ci à rester en Suisse. Un tel renvoi n'est pas contraire à l'art. 3 CEDH. A cela s'ajoute que la question de la mise en œuvre de l'expulsion et de son report éventuel échappe à la compétence du juge (art. 66d CP et 18 du Règlement sur l'exécution des peines privatives de liberté et des mesures concernant les adultes et les jeunes adultes [RS-GE - E 4 55.05 - REPPL], ATF 116 IV 105 consid. 4). Dans ces conditions, l'éventuelle continuation du séjour de l'appelant en Suisse est de nature à perturber l'intérêt public, de sorte qu'il se justifie de prononcer son expulsion pour une durée de trois ans.</w:t>
      </w:r>
    </w:p>
    <w:p>
      <w:r>
        <w:rPr>
          <w:b/>
        </w:rPr>
        <w:t>E. 4</w:t>
      </w:r>
    </w:p>
    <w:p>
      <w:r>
        <w:t>L'appelant, qui succombe, sera condamné aux trois quarts des frais de la procédure d'appel, comprenant un émolument de décision de CHF 1'500.- (art. 428 CPP et 14 al. 1 let. e du Règlement fixant le tarif des frais en matière pénale du 22 décembre 2010 [RS E 4 10.03]). Dans la mesure où l'appelant joint succombe également, mais dans une moindre mesure, le quart restant sera laissé à charge de l'Etat.</w:t>
      </w:r>
    </w:p>
    <w:p>
      <w:r>
        <w:rPr>
          <w:b/>
        </w:rPr>
        <w:t>E. 5.1</w:t>
      </w:r>
    </w:p>
    <w:p>
      <w:r>
        <w:t>Les frais imputables à la défense d'office sont des débours (art. 422 al. 2 let. a CPP) qui constituent des frais de procédure (art. 422 al. 1 CPP) et doivent,</w:t>
      </w:r>
    </w:p>
    <w:p>
      <w:r>
        <w:t>- 12/16 - P/18758/2017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5.2</w:t>
      </w:r>
    </w:p>
    <w:p>
      <w:r>
        <w:t>Selon l'art. 135 al. 1 CPP, le défenseur d'office est indemnisé conformément au tarif des avocats du canton du for du procès. Aux termes de l'art. 16 let. c du règlement sur l'assistance juridique du 28 juillet 2010 (RAJ ; E 2 05.04), applicable à la défense d'office, l'indemnité, en matière pénale, est calculée, pour un avocat- stagiaire, selon le tarif horaire, débours de l'étude inclus, de CHF 65.-, l'équivalent de la TVA versé en sus.</w:t>
      </w:r>
    </w:p>
    <w:p>
      <w:r>
        <w:rPr>
          <w:b/>
        </w:rPr>
        <w:t>E. 5.3</w:t>
      </w:r>
    </w:p>
    <w:p>
      <w:r>
        <w:t>Au sens de l'art 16. al. 2 RAJ,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5.4</w:t>
      </w:r>
    </w:p>
    <w:p>
      <w:r>
        <w:t>Selon la pratique de la CPAR,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Des exceptions demeurent possibles, charge à l'avocat de justifier l'ampleur d'opérations dont la couverture ne serait pas assurée par le forfait.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5.5</w:t>
      </w:r>
    </w:p>
    <w:p>
      <w:r>
        <w:t>En l'occurrence, en application des principes qui précèdent, la durée de 1h48 afférente à l'annonce et à la déclaration d'appel entrant dans le forfait pour activités diverses ne devrait pas être indemnisée au-delà. Néanmoins, dans la mesure où la durée globale de 2h06, arrondie à 2h00, se justifie pour la rédaction par une avocate- stagiaire d'un mémoire d'appel, ses écritures seront exceptionnellement indemnisées dans cette mesure nonobstant le libellé de l'état de frais. La CPAR y ajoutera 1h00 pour la rédaction du mémoire réponse sur appel joint du 21 février 2018.</w:t>
      </w:r>
    </w:p>
    <w:p>
      <w:r>
        <w:t>- 13/16 - P/18758/2017</w:t>
      </w:r>
    </w:p>
    <w:p>
      <w:r>
        <w:t>En conclusion, l'indemnité sera arrêtée à CHF 416.95 correspondant à 4h00 d'activité au tarif de CHF 65.-/heure (CHF 260.-), plus la majoration forfaitaire de 20% (CHF 52.-) et l'équivalent de la TVA au taux de 8% (vu les directives transitoires du Pouvoir judiciaire), en CHF 24.95, plus CHF 80.- de frais d'interprète. * * * * *</w:t>
      </w:r>
    </w:p>
    <w:p>
      <w:r>
        <w:t>- 14/16 - P/18758/2017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