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AARP/74/2017 vom 2. März 2017</w:t>
      </w:r>
    </w:p>
    <w:p>
      <w:r>
        <w:t>GE Cour de justice, 2017-03-02, FR</w:t>
      </w:r>
    </w:p>
    <w:p>
      <w:r>
        <w:rPr>
          <w:b/>
        </w:rPr>
        <w:t xml:space="preserve">Quelle: </w:t>
      </w:r>
      <w:r>
        <w:t>https://mcp.opencaselaw.ch/entscheid/ge_gerichte_AARP_74_2017</w:t>
      </w:r>
    </w:p>
    <w:p>
      <w:r>
        <w:t>FR: GE_GERICHTE AARP/74/2017 du 2 mars 2017</w:t>
      </w:r>
    </w:p>
    <w:p>
      <w:r>
        <w:t>IT: GE_GERICHTE AARP/74/2017 del 2 marzo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2ème éd., Bâle 2014,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du Tribunal fédéral 6B_78/2012 du 27 août 2012 consid. 3.1). Afin de déterminer quel moyen de preuve doit être administré, le juge dispose d'un pouvoir d'appréciation (arrêt du Tribunal fédéral 6B_484 2012 du 11 décembre 2012 consid. 1.2 et les références). Le magistrat peut renoncer à l'administration de</w:t>
      </w:r>
    </w:p>
    <w:p>
      <w:r>
        <w:t>- 17/32 - P/4302/2012 certaines preuves, notamment lorsque les faits dont les parties veulent rapporter l'authenticité ne sont pas importants pour la solution du litige, ou lorsque des preuves nouvelles ne sont pas nécessaires au traitement du recours, en particulier lorsqu'une administration anticipée non arbitraire de la preuve démontre que celle-ci ne sera pas de nature à modifier le résultat de celles déjà administrées (arrêts du Tribunal fédéral 6B_614/2012 du 15 février 2013 consid. 3.2.3 et 6B_509/2012 du 22 novembre 2012 consid. 3.2). Ce refus d'instruire ne viole le droit d'être entendu des parties que si l'appréciation anticipée de la pertinence du moyen de preuve est entachée d'arbitraire (ATF 136 I 229 consid. 5.3 ; ATF 131 I 153 consid. 3 p. 157 et les références ; arrêt du Tribunal fédéral 6B_157/2015 du 21 mars 2016 consid. 2.1.). Quel que soit le stade de la procédure, il n'y a pas lieu d'administrer des preuves sur des faits non pertinents, notoires, connus de l'autorité pénale ou déjà suffisamment prouvés (art. 139 al. 2 CPP ; cf. art. 29 al. 2 de la Constitution fédérale de la Confédération suisse du 18 avril 1999 [Cst. – RS 101] et l'arrêt du Tribunal fédéral 6B_977/2014 du 17 août 2015 consid. 1.2 et les références).</w:t>
      </w:r>
    </w:p>
    <w:p>
      <w:r>
        <w:t>2.1.2.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w:t>
      </w:r>
    </w:p>
    <w:p>
      <w:r>
        <w:t>2.1.3. L'audition requise par l'appelante n'est pas de nature à modifier le résultat des preuves administrées, le témoin ayant déjà été auditionné à deux reprises, en 2012 et 2015, dont la seconde fois de manière contradictoire, soit en présence du défenseur de l'appelante, qui a pu poser ses questions, sans compter que les faits datent à présent de plus de cinq ans.</w:t>
      </w:r>
    </w:p>
    <w:p>
      <w:r>
        <w:t>Bien que l'audition du témoin ne parût pas indispensable, la CPAR l'avait néanmoins ordonnée, estimant qu'elle était de nature à éclaircir certains faits. Convoqué par le biais d'un mandat de comparution intégralement traduit en langue albanaise, qui mentionnait qu'il serait assisté d'un interprète et avait droit au remboursement de ses frais de déplacement, le témoin n'y a pas donné suite, sans être excusé, n'ayant pas non plus déféré aux convocations antérieures du Ministère public. De prime abord, les déclarations du témoin semblaient en effet empreintes d'une légère confusion, qui s'avère finalement découler, pour l'essentiel, de sa piètre maîtrise de l'allemand, et qui peut s'expliquer par le fait qu'il a été entendu sans l'assistance d'un interprète.</w:t>
      </w:r>
    </w:p>
    <w:p>
      <w:r>
        <w:t>Nonobstant, il est constant que le témoin explique, en discours indirect, que "AS______", qu'il a identifiée sur planche photographique comme la prévenue, n'avait pas fait que de le tromper lui ("Sie hat nicht nur mich betrogen"), mais aussi un (autre) albanais, prénommé "D______", qu'elle avait délesté, lui semblait-t-il, de</w:t>
      </w:r>
    </w:p>
    <w:p>
      <w:r>
        <w:t>- 18/32 - P/4302/2012 CHF 500'000.-, étant précisé que c'était bien la femme qui lui avait dit cela ("Der hat mir diese selber gesagt, soit probablement plutôt Das hat sie mir selber gesagt). Le témoin s'exprime encore dans un allemand malheureux lorsqu'il dit "Er sagte, dass sein Sohn im Gefängnis sei", puisqu'il affirme ensuite que c'est bien de la bouche de la prévenue qu'il tient ces informations ("Das sagte uns diese Frau"). Par conséquent, le témoin ne dit pas qu'il a rencontré la partie plaignante ou qu'il lui a parlé, mais raconte ce que la prévenue lui a relaté, ce que les premiers juges ont d'ailleurs parfaitement saisi.</w:t>
      </w:r>
    </w:p>
    <w:p>
      <w:r>
        <w:t>La requête d'audition doit ainsi être rejetée. 2.2.1. L'art. 146 CP réprime le comportement de celui qui, dans le dessein de se procurer ou de procurer à un tiers un enrichissement illégitime, aura astucieusement induit en erreur une personne et l'aura de la sorte déterminée à des actes préjudiciables à ses intérêts pécuniaires ou à ceux d'un tiers. L'escroquerie consiste ainsi à tromper la dupe par des affirmations fallacieuses, par la dissimulation de faits vrais ou par un comportement qui la conforte dans son erreur. Pour qu'il y ait escroquerie, une simple tromperie ne suffit cependant pas, il faut qu'elle soit astucieuse. Il y a astuce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Cette hypothèse vise en particulier les opérations courantes, de faible valeur, pour lesquelles une vérification entraînerait des frais ou une perte de temps disproportionnée ou ne peut être exigée pour des raisons commerciales. L'astuce sera également admise lorsque l'auteur exploite un rapport de confiance préexistant propre à dissuader la dupe d'effectuer certaines vérifications (ATF 126 IV 165 consid. 2a p. 171 ; ATF 125 IV 124 consid. 3a p. 127 s. et les références ; ATF 122 IV 246 consid. 3a p. 248 ; par ex. arrêt du Tribunal fédéral 6B_130/2016 du 21 novembre 2016 consid. 2.2.2). Toutefois,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w:t>
      </w:r>
    </w:p>
    <w:p>
      <w:r>
        <w:t>- 19/32 - P/4302/2012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Une coresponsabilité de la dupe n'exclut l'astuce que dans des cas exceptionnels (ATF 135 IV 76 consid. 5.2. ; arrêts du Tribunal fédéral 6B_139/2016 du 21 novembre 2016 consid. 3.1 et 3.2, 6B_99/2015 du 27 novembre 2015 consid. 3.3). 2.2.2.1. L'art. 138 al. 1 CP sanctionne à son ch. 1 al. 1 celui qui, pour se procurer ou procurer à un tiers un enrichissement illégitime, se sera approprié une chose mobilière appartenant à autrui et qui lui avait été confiée, l'al. 2 punissant celui qui, sans droit, aura employé à son profit ou au profit d'un tiers des valeurs patrimoniales qui lui avaient été confiées. Lorsqu'une personne reçoit des espèces, soit des valeurs mobilières, qui ne sont pas entrées dans sa propriété par mélange, c'est l'art. 138 ch. 1 al. 1 CP qui s'applique (ATF 105 IV 29 consid. 2 ; ATF 81 IV 228 consid. 2b ; arrêt du Tribunal fédéral 6S.500/2005 du 24 mars 2006 consid. 4.1 ; M. NIGGLI / H. WIPRÄCHTIGER, Basler Kommentar Strafrecht II : Art. 111-392 StGB, 3e éd., Bâle 2013, n. 11 ad art. 138 et n. 46 ad art. 147). 2.2.2.2.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1er décembre 2016 consid. 4 ; 6B_635/2015 du 9 février 2016 consid. 3.1). Le comportement délictueux consiste à utiliser la valeur patrimoniale contrairement aux instructions reçues, en s'écartant de la destination fixée (ATF 129 IV 257 consid. 2.2.1 p. 259).</w:t>
      </w:r>
    </w:p>
    <w:p>
      <w:r>
        <w:t>- 20/32 - P/4302/2012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p. 259 ; ATF 121 IV 23 consid. 1c p. 25 ; arrêt du Tribunal fédéral 6B_507/2015 du 25 février 2016 consid. 1). Du point de vue subjectif, l'auteur doit avoir agi intentionnellement et dans un dessein d'enrichissement illégitime ou de procurer à un tiers un enrichissement illégitime, qui peut être réalisé par dol éventuel (ATF 133 IV 21 consid. 6.1.2 p. 27 et les références ; ATF 118 IV 27 consid. 2a p. 34 ; arrêt du Tribunal fédéral 6B_635/2015 du 9 février 2016 consid. 3.1).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 2.2.2.3. Une chose obtenue par l'auteur à la faveur d'une tromperie ne lui est en règle générale pas confiée au sens de l'art. 138 ch. 1 al. 2 CP. En revanche, il en va différemment lorsque cette tromperie a précisément eu pour but que la victime confie ce bien à l'auteur (ATF 133 IV 21 consid. 6.2 p. 29, ATF 117 IV 429 consid. 3c p. 436 = JdT 1993 IV 173). Cette question doit être examinée indépendamment de l'infraction d'escroquerie, respectivement de l'existence d'une astuce (M. NIGGLI / H. WIPRÄCHTIGER, op. cit., n. 209 ab initio ad art. 138). Ainsi, peu importe que le contrat à la base de la remise de la chose soit nul ou annulable (ATF 92 IV 174 consid. 2 p. 176 ; ATF 86 IV 160 consid. 4a p. 165 s.). Il n'est pas nécessaire que l'engagement pris par l'auteur de faire un usage déterminé des valeurs patrimoniales confiées ait donné naissance à une obligation valable en droit, peu importe que l'acte juridique fondant le rapport de confiance et les engagements de l'auteur soient entachés de vices de volonté, notamment pour cause de dol (ATF 133 IV 21 consid. 6.2 p. 28 et les références ; arrêt du Tribunal fédéral 6B_91/2007 consid. 6.1). Même si cette jurisprudence est critiquée en doctrine, il n'y a en tout cas pas lieu de s'en écarter lorsque la validité du contrat passé entre l'auteur et le lésé est compromise par un vice du consentement chez ce dernier, par exemple lorsque l'auteur a usé de manœuvres frauduleuses pour se faire remettre par le lésé le pouvoir de disposer de la valeur patrimoniale (arrêt du Tribunal fédéral 6B_91/2007 du 8 juillet 2007 consid. 6.1 et les références).</w:t>
      </w:r>
    </w:p>
    <w:p>
      <w:r>
        <w:t>- 21/32 - P/4302/2012 2.2.3. En l'espèce, il est établi que D______ a contracté un abonnement de téléphonie mobile le 20 mai 2011 pour le numéro 2______ en faveur de la prévenue, dont aucun élément tangible ne permet de douter qu'elle en a été l'utilisatrice entre le 13 juillet et</w:t>
      </w:r>
    </w:p>
    <w:p>
      <w:r>
        <w:rPr>
          <w:b/>
        </w:rPr>
        <w:t>E. 7</w:t>
      </w:r>
    </w:p>
    <w:p>
      <w:r>
        <w:t>septembre 2011, bien qu'elle le conteste. Les rétroactifs confirment que ce numéro a été en contact à d'innombrables reprises avec le raccordement utilisé par la belle-fille de la partie plaignante, en particulier aux dates des remises d'argent alléguées, lors desquelles les antennes activées se sont de surcroît révélées compatibles avec les lieux de rencontres décrits dans la plainte (L______, J______, K______), à des heures conciliables avec les événements dénoncés. Les rétroactifs ne s'étendent pas à la transaction du 6 septembre 2010, mais l'adresse du chemin H______, qui avait été communiquée à la partie plaignante dans un SMS du même jour, concorde avec les éléments évoqués dans la plainte. Fort de ce qui précède, il est établi que les parties se sont rencontrées les 6 septembre 2010, 24 août 2011, 2 et 6 septembre 2011 aux endroits indiqués de manière constante par l'intimé. Les déclarations de la partie plaignante, qui se sont vues dans l'ensemble confirmées par des éléments factuels, jouissent d'une plus grande crédibilité que celles de l'appelante. L'intimé a d'emblée indiqué avoir rencontré l'appelante à T______, au chemin AH______, chez la famille "AI______", jusqu'à fin août 2010, ensuite au chemin H______, au I______, puis à P______. Or, cette dernière indication s'est révélée correspondre au domicile du témoin D______, dont ni l'identité, ni même l'existence ne ressortaient de la plainte, seules les investigations policières les ayant ultérieurement révélées, grâce au raccordement par lequel l'intimé disait être contacté. De plus, le témoin S______ a confirmé avoir rencontré les parties début 2010 à T______, la belle-fille de l'intimé ayant également évoqué une rencontre chez les "AI______". La fréquence et la familiarité des SMS échangés entre l'appelante et la belle-fille de l'intimé corroborent les déclarations de cette dernière selon lesquelles elle entretenait des contacts étroits et réguliers avec la première. Au vu du contexte, il n'est pas surprenant que ces messages ne contiennent pas, dans les limites des quelques extraits traduits en audience, de référence explicite à des sommes d'argent, l'appelante préférant sans doute fixer des rendez-vous et ne laisser aucune trace écrite de ses agissements. A cet égard, il n'est pas non plus déterminant</w:t>
      </w:r>
    </w:p>
    <w:p>
      <w:r>
        <w:t>- 22/32 - P/4302/2012 que le plaignant n'ait pas été en mesure de fournir de reçu signé par l'appelante, d'autant que l'inverse eût été maladroit de la part d'une personne opérant illicitement. L'intimé a été constant dans le décompte des sommes qu'il a données à l'appelante. Il a produit deux quittances en lien avec des fonds empruntés le 29 août 2011, pour un total de CHF 180'000.-, soit quelques jours avant la transaction du 2 septembre 2011 portant sur une somme identique. Il semble toutefois avoir des souvenirs assez imprécis et variables des circonstances des transactions litigieuses, hésitant sur la présence de sa belle-fille et/ou de son épouse, sur son moyen de transport, ou encore sur l'implication de son beau-fils. Il en va de même de l'absence de reçus de paiement justifiée par des motifs culturels, quand bien même les récépissés qu'il a produits en lien avec les fonds empruntés à des tiers au Kosovo sont signés, ou en raison du mauvais temps, tandis que sa belle- fille affirme que la remise des CHF 180'000.- s'est déroulée par une belle journée. Ces fluctuations, qui peuvent s'expliquer par l'écoulement du temps, mais aussi par le caractère rapproché de trois de ces transactions, ne sont pas déterminantes, en regard des autres éléments du dossier, notamment les déclarations de sa belle-fille, qui a confirmé le détail des montants transmis à l'appelante. Alors même que celles-ci doivent être analysées avec une certaine prudence compte tenu du lien familial, il y a précisément lieu de constater qu'elles divergent de celles du beau-père sur des points de détails, par exemple au sujet des CHF 420'000.- que l'intimé aurait transportés dans sa poche ou dans une enveloppe. Or, de petites imprécisions renforcent d'autant leur crédibilité, à l'inverse d'un discours qui aurait été calqué et répété. A ces éléments s'ajoute le témoignage de D______, qui a fait des déclarations globalement crédibles, riches de détails corroborés par l'instruction, tels que la date de naissance de l'appelante, sa grossesse, son permis de séjour, ses nombreux allers- retours au Kosovo ou encore son compagnon "AT______" conduisant une grosse cylindrée de marque AD______. Il a décrit une femme qu'il connaissait sous l'identité de "AS______", soit un prénom orthographié similairement à celui du SMS de l'appelante à G______ ("X______"). En substance, il a brossé le portrait d'une personne manipulatrice et menaçante, qui lui a réclamé de grosses sommes d'argent à réitérées reprises, sous un prétexte fantaisiste (guérir sa famille), soit un modus operandi en tous points analogues à celui de la présente cause. Le récit empreint de peur de AR______ abonde également dans ce sens. Lors de sa seconde audition, D______ a intégralement confirmé la teneur de ses déclarations, nuançant, certes, quelque peu le propos selon lequel il ne connaissait pas cet autre "D______", dont la prévenue lui avait parlé, tout en maintenant ses précédentes explications, de sorte que cette hésitation ne remet pas en cause son récit initial. Le versement d'un solde de CHF 10'000.- à AR______ par G______, à la demande de l'appelante, laisse supposer que les protagonistes ont peut-être été en contact à un</w:t>
      </w:r>
    </w:p>
    <w:p>
      <w:r>
        <w:t>- 23/32 - P/4302/2012 moment donné, sans que cela n'invalide le témoignage de l'intéressée, qui accable l'appelante et dont le contenu est confirmé par d'autres éléments du dossier. En revanche, les déclarations de l'appelante ne jouissent d'aucune crédibilité. Même si elle a, dans un premier temps, admis avoir eu quelques échanges avec l'intimé ou sa belle-fille, elle a finalement nié tout contact avec ces derniers, motif pris de son séjour en Norvège à l'époque des faits. Or, ces dénégations ne résistent pas à l'examen. La présence de l'appelante en Suisse à cette période ne fait aucun doute, celle-ci découlant, outre des rétroactifs, de l'attestation médicale des HUG. Les autorités norvégiennes ont par ailleurs confirmé son arrivée dans le pays en octobre 2011. Même confrontée à ces éléments tangibles, la prévenue a persisté à réfuter les contacts avec S______ ou s'être déplacée en Suisse-allemande. En outre, de nombreuses contradictions ressortent de ses déclarations. Ainsi, elle a raconté avoir rencontré l'intimé par l'intermédiaire d'un dénommé "AO______", qu'elle a d'abord qualifié d'ouvrier, puis de chef de la partie plaignante. Au cours d'une même audition, elle a successivement affirmé que l'intimé l'avait contactée car il voulait débloquer des fonds saisis en Suisse, ou vendre des actions pour faire sortir son fils de prison, ou, encore, pour honorer les dettes contractées par ce dernier. Devant le Ministère public, elle a confirmé que l'intimé cherchait à vendre ses titres, avant de soutenir, face aux premiers juges, que l'intimé tentait en fait d'obtenir de l'argent de la part d'une assurance en Suisse, afin notamment de payer un avocat pour son fils. Au vu de ce qui précède, la CPAR retient que l'intimé a remis, en plusieurs fois, des sommes d'argent considérables en mains de l'appelante, dans l'unique but que celle-ci les reverse à des tiers qui obtiendraient ainsi la libération de son fils, dont la détention n'est pas contestée par les parties. Il y bien a eu tromperie. La prévenue a menti, selon un procédé visiblement bien rôdé consistant notamment à ne laisser aucune trace écrite de ses affirmations fallacieuses. Elle a usé d'artifices dans le but précis de convaincre l'intimé à lui remettre de l'argent, qui lui a ainsi été confié, afin de régler la caution ou, à tout le moins, d'obtenir la libération de son fils. Les éléments nécessaires pour retenir l'astuce font cependant défaut, pour les raisons qui suivent. L'appelante n'a pas employé de faux documents, ni n'a fait participer des tiers. Par ailleurs, les faits ne portaient pas sur une opération courante, encore moins de faible valeur. Faute de pouvoir s'enquérir des véritables intentions de l'appelante, des précautions d'usage s'imposaient à l'intimé. Bien qu'on puisse concevoir que celui-ci, peu familier du système juridique suisse, fût pris de désarroi, sa situation personnelle ne l'empêchait en effet pas de procéder à des vérifications élémentaires, telles que se renseigner sur les origines de son interlocutrice, jusque-là illustre</w:t>
      </w:r>
    </w:p>
    <w:p>
      <w:r>
        <w:t>- 24/32 - P/4302/2012 inconnue, ou son parcours professionnel, glaner des informations en lien avec le magistrat prétendument en charge du dossier ou, encore, consulter l'avocat de son fils. Faut-il rappeler qu'initialement, l'intimé était entré en contact avec l'appelante afin qu'elle "guérisse" sa nièce, et qu'elle a subitement annoncé travailler pour la police genevoise, puis zurichoise, après qu'il lui eut dit que son fils était incarcéré. Il n'est pas crédible qu'une simple injonction de l'appelante eût suffi à dissuader l'intimé de contacter un homme de loi, si, comme il le prétend, la détention déplorée l'affectait à ce point, démarche qu'il a de surcroît su mener à bien afin de déposer plainte. Certes, l'intimé a fait confiance à l'appelante, qui a exploité ce lien. Il reste que ce ne sont pas moins de quatre versements qui ont eu lieu sur une période de douze mois, sans que le résultat escompté ne survienne, les rencontres ayant de surcroît eu lieu à Genève, nonobstant une incarcération en terres zurichoises. Il s'agit là d'autant d'indices qui auraient dû inciter l'intimé à douter des affirmations de l'appelante et à exiger des garanties, si ce n'est d'emblée, au moins au fil des mois. Un minimum d'attention lui aurait évité de tomber dans ce piège, de sorte que l'astuce n'est pas réalisée. Partant, c'est à tort que les premiers juges ont retenu la qualification d'escroquerie. 2.2.4. En revanche, le comportement de la prévenue, tel que développé dans le considérant qui précède, tombe pleinement sous le coup de l'art. 138 ch. 1 al. 2, qualification juridique retenue à titre subsidiaire dans l'acte d'accusation. L'appelante a agi intentionnellement, dans un dessein d'enrichissement illégitime manifeste. Elle a causé un dommage à l'intimé, qui n'a pas revu la couleur de ses deniers. Elle s'est par conséquent rendue coupable d'abus de confiance. Il s'ensuit que le jugement querellé sera modifié sur ce point. 3. 3.1.1. L'art. 252 CP, applicable aux titres étrangers en vertu de l'art. 255 CP, prévoit que celui qui, dans le dessein d'améliorer sa situation ou celle d'autrui, aura, notamment, contrefait ou falsifié des pièces de légitimation, des certificats ou des attestations, ou aura fait usage, pour tromper autrui, d'un écrit de cette nature, sera puni d'une peine privative de liberté de trois ans au plus ou d'une peine pécuniaire.</w:t>
      </w:r>
    </w:p>
    <w:p>
      <w:r>
        <w:t>3.1.2. L'infraction protège, en tant que bien juridique, d'une part la confiance particulière placée dans un titre ayant valeur probante dans les rapports juridiques et, d'autre part, la loyauté dans les relations commerciales (ATF 142 IV 119 consid. 2.2 p. 121 s. ; ATF 138 IV 130 consid. 2.1 p. 134 ; ATF 132 IV 12 consid. 8.1 p. 14). Il s'agit d'un délit de mise en danger abstraite (ATF 97 IV 206 consid. 2). La notion de</w:t>
      </w:r>
    </w:p>
    <w:p>
      <w:r>
        <w:t>- 25/32 - P/4302/2012 pièce de légitimation vise les papiers destinés à établir l'identité, l'état civil et les relations familiales d'une personne, ou d'autres faits qui la concernent, tels que sa date de naissance, sa nationalité ou ses lieu et date de naissance. Font notamment partie de cette catégorie le passeport (ATF 117 IV 170 consid. 2c p. 176 = JdT 1993 IV 152), la carte d'identité, ainsi que l'autorisation de séjour ou le permis d'établissement (arrêt du Tribunal fédéral 6B_619/2012 du 18 décembre 2012 consid. 1.2.1 et les références). Le comportement punissable peut notamment consister en la contrefaçon, la falsification ou l'usage (d'un certificat faux ou falsifié), l'usage de faux s'appliquant subsidiairement (arrêt du Tribunal fédéral 6B_619/2012 du 18 décembre 2012 consid. 1.2.1 et les références). Il y a falsification lorsqu'une personne modifie un certificat authentique de manière à ce qu'il atteste une information contraire à la vérité (B. CORBOZ, Les infractions en droit suisse, vol. II, 3ème éd. 2010, n. 11 p. 274).</w:t>
      </w:r>
    </w:p>
    <w:p>
      <w:r>
        <w:t>L'infraction est intentionnelle. En outre, l'auteur doit agir dans le dessein d'améliorer sa situation ou celle d'autrui. Ce dessein est réalisé, notamment lorsque l'auteur veut se faciliter la vie (ATF 111 IV 24 consid. 1b p. 26). Interprété de façon tellement large, il vise pratiquement toutes les situations, à moins que l'auteur n'ait agi sans but raisonnable ou pour nuire à autrui (ATF 98 IV 55 = JdT 1972 I 484 ; arrêts du Tribunal fédéral 6B_319/2015 du 22 décembre 2015 consid. 5.1 ; 6B_619/2012 du 18 décembre 2012 consid. 1.2.1 et les références). Tel est en particulier le cas d'une personne recherchée qui voudrait se faciliter le passage de la frontière ou dissimuler son identité réelle en cas de contrôle de police (hypothèse inspirée de l'ATF 117 IV 175 ; B. CORBOZ, Les infractions en droit suisse, vol. II, 3ème éd. 2010, n. 17 p. 275).</w:t>
      </w:r>
    </w:p>
    <w:p>
      <w:r>
        <w:t>3.1.3. A l'époque des faits, le refus d'entrée sur le territoire des Etats membres était réglementé par le Règlement (CE) N° 562/2006 du Parlement européen et du Conseil du 15 mars 2006 établissant un code communautaire relatif au régime de franchissement des frontières par les personnes (code frontières Schengen), notamment l'art. 13 et l'Annexe V, dont la substance est presque identique à l'art. 14 (et à l'Annexe V) du Règlement (UE) 2016/399 du Parlement européen et du Conseil du 9 mars 2016 concernant un code de l’Union relatif au régime de franchissement des frontières par les personnes (code frontières Schengen), actuellement en vigueur. Les gardes-frontières veillent à ce qu’un ressortissant de pays tiers ayant fait l’objet d’une décision de refus d’entrée ne pénètre pas sur le territoire de l’Etat membre concerné (art. 13 al. 4). En cas de refus d'entrée, le garde-frontière compétent remplit, notamment, le "formulaire uniforme de refus d'entrée à la frontière" (Annexe V partie B), appose sur le passeport un cachet d’entrée, procède à l’annulation du visa et consigne tout refus d’entrée sur un registre ou une liste (art. 1 let. a à d Annexe V partie A). Si le ressortissant de pays tiers frappé d’une décision de refus d’entrée a été acheminé à la frontière par un transporteur, l’autorité localement responsable, en attendant le réacheminement, prend les mesures</w:t>
      </w:r>
    </w:p>
    <w:p>
      <w:r>
        <w:t>- 26/32 - P/4302/2012 appropriées afin d’éviter l’entrée illégale du ressortissant (art. 3 let. a et b Annexe V partie A). 3.1.4. Le Système d'information Schengen (SIS) est un système dans lequel peuvent être signalées notamment les personnes qui sont sous le coup d'une interdiction d'entrée. Les services suisses habilités y ont accès. L'entrée en vigueur de l'accord d'association à Schengen (AAS) le 12 décembre 2008 s'est accompagnée de la suppression des contrôles des personnes aux frontières et, de ce fait, de la mise en place d'une forme de coopération à tous les niveaux opérationnels dans les domaines de l'asile (Dublin) et des visas (visas Schengen). Le SIS a pour objectif de multiplier par voie électronique les données de recherches nationales et de les mettre à la disposition de tous les Etats membres, la recherche lancée dans le SIS par une autorité de police dans un Etat Schengen pouvant être immédiatement consultée par tous les Etats Schengen (https://www.fedpol.admin.ch/fedpol/fr/home/polizei- zusammenarbeit/international/schengen/sis.html [10.02.2017]). 3.1.5. En l'espèce, les éléments constitutifs du faux dans les certificats sont réalisés. Objectivement, le passeport est une pièce de légitimation qui sert non seulement à établir l'identité d'une personne, mais également à renseigner les autorités sur d'autres faits qui la concernent, tels que l'obtention de visas ou une interdiction d'entrée dans un Etat membre. Or, selon les rapports de la BPTS et de la police zurichoise, l'appelante a falsifié son passeport, délivré par un Etat tiers, et l'a présenté aux douaniers comme pièce de légitimation, en vue de pénétrer dans l'espace Schengen. Sur le plan subjectif, elle a agi avec conscience et volonté, comme cela ressort de ses déclarations. L'usage de cette pièce falsifiée a amélioré sa situation, dans la mesure où gratter des timbres officiels, fussent-ils étrangers, relatifs à des refus d'entrée dans des Etats Schengen était de nature à tromper le corps des gardes-frontières suisses sur sa situation économique, à lui éviter ainsi de se voir signifier, cas échéant, une nouvelle interdiction d'entrée, respectivement à faciliter son entrée dans le pays, quand bien même les citoyens serbes, Etat tiers, n'ont pas d'obligation de visa pour des séjours inférieurs à 90 jours. Au demeurant, les autorités suisses jouissaient d'une prérogative à ce que l'ensemble des données concernant l'intéressée soient exactes, au même titre que les autres Etats membres, ce qui constitue l'essence même d'un échange d'informations centralisé. Le verdict de culpabilité doit être confirmé sur ce point.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- 27/32 - P/4302/2012 mesure dans laquelle celui-ci aurait pu éviter la mise en danger ou la lésion, compte tenu de sa situation personnelle et des circonstances extérieures (al. 2).</w:t>
      </w:r>
    </w:p>
    <w:p>
      <w:r>
        <w:t>4.1.2. Selon l'art. 43 CP, le juge peut suspendre partiellement l'exécution d'une peine pécuniaire, d'un travail d'intérêt général ou d'une peine privative de liberté d'un an au moins et de trois ans au plus afin de tenir compte de façon appropriée de la faute de l'auteur (al. 1). Les conditions subjectives permettant l'octroi du sursis (art. 42 CP), à savoir les perspectives d'amendement, valent également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(ATF 134 IV 1 consid. 5.3.1 p. 10).</w:t>
      </w:r>
    </w:p>
    <w:p>
      <w:r>
        <w:t>4.2.1. L'abus de confiance, au même titre que l'escroquerie, est passible d'une peine privative de liberté de cinq ans au plus ou d'une peine pécuniaire (art. 138 al. 1 ch. 2 CP et art. 146 al. 1 CP). 4.2.2. Bien que l'appelante attaque le jugement dans son ensemble, elle n'émet pas de critique spécifique sur la peine qui lui a été infligée. Sa faute est importante. Elle a choisi une proie vulnérable et en plein désarroi, saisissant l'opportunité d'abuser de la détresse d'un père déterminé à voir son fils remis en liberté. Elle a exploité la confiance d'un homme et a menti sans vergogne pendant douze mois, détournant à son profit les sommes conséquentes qui lui étaient confiées à d'autres fins.</w:t>
      </w:r>
    </w:p>
    <w:p>
      <w:r>
        <w:t>Les mobiles, purement égoïstes, relèvent de l'appât d'un gain facile, sans considération aucune pour la situation patrimoniale de la victime. Sa situation personnelle n'explique pas ses actes, d'autant qu'elle déclare travailler.</w:t>
      </w:r>
    </w:p>
    <w:p>
      <w:r>
        <w:t>La collaboration de l'appelante a été inexistante, celle-ci s'enfermant dans les dénégations, même confrontée aux éléments objectifs. Il n'y pas l'ombre d'une prise de conscience, l'appelante n'ayant formulé aucun regret, ni présenté d'excuses.</w:t>
      </w:r>
    </w:p>
    <w:p>
      <w:r>
        <w:t>L'absence d'antécédents a un effet neutre sur la peine (ATF 136 IV 1 consid. 2.6). En revanche, il y a concours d'infractions, ce qui justifie d'augmenter la peine de l'infraction la plus grave dans une juste proportion (art. 49 al. 1 CP). Aucune des circonstances atténuantes prévues à l'art. 48 CP n'est réalisée, ni d'ailleurs plaidée. Au regard de l'ensemble de ces circonstances, une peine privative de liberté de 30 mois est adéquate et tient judicieusement compte de l'ensemble des éléments qui précèdent, de sorte qu'il convient de la confirmer.</w:t>
      </w:r>
    </w:p>
    <w:p>
      <w:r>
        <w:t>- 28/32 - P/4302/2012 4.2.3. Cette quotité exclut l'octroi du sursis complet, tandis que le sursis partiel est acquis dans son principe à l'appelante (art. 391 al. 2 CPP). La partie à exécuter de la peine, arrêtée par les premiers juges au minimum légal, soit six mois, est adéquate et appropriée, l'appelante n'ayant pas de condamnations antérieures. Il convient de confirmer le jugement querellé sur ce point. 5. Vu l'issue de la procédure, la confiscation et la restitution aux autorités serbes compétentes du passeport N° 1______ établi au nom de A______ seront confirmées (art. 69 CP). 6. 6.1. L'appelante, qui succombe entièrement dans ses conclusions, supportera les frais de la procédure envers l'Etat, comprenant un émolument de jugement de CHF 3'000.- (art. 428 al. 1 CPP et art. 14 let. e du règlement fixant le tarif des frais en matière pénale du 22 décembre 2010 [RTFMP – E 4 10.03]). En regard du verdict de culpabilité, il n'y a pas lieu de revoir la répartition des frais de première instance (art. 428 al. 3 CPP). 6.2. L'appelante sera déboutée de ses prétentions en indemnisation (art. 429 al. 1 let. c CPP a contrario).</w:t>
      </w:r>
    </w:p>
    <w:p>
      <w:r>
        <w:rPr>
          <w:b/>
        </w:rPr>
        <w:t>E. 7.1</w:t>
      </w:r>
    </w:p>
    <w:p>
      <w:r>
        <w:t>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débours de l'étude inclus, la TVA étant versée en sus si l'intéressé y est assujetti, de même qu'une majoration forfaitaire de 20% jusqu'à 30 heures de travail décomptées depuis l'ouverture de la procédure, 10% lorsque l'état de frais porte sur plus de 30 heures, consacrées aux conférences, audiences et autres actes de la procédure, pour les démarches diverses, telles la rédaction de courriers ou notes, les entretiens téléphoniques et la lecture de communications, pièces et prise de connaissance de décisions. Un montant forfaitaire par vacation (aller-retour) est alloué pour le temps de déplacement de l'avocat, considéré comme nécessaire pour la défense d'office, arrêté, vu notamment l'exiguïté du territoire cantonal, au tarif de CHF 50.- pour les chefs d'étude.</w:t>
      </w:r>
    </w:p>
    <w:p>
      <w:r>
        <w:rPr>
          <w:b/>
        </w:rPr>
        <w:t>E. 7.2</w:t>
      </w:r>
    </w:p>
    <w:p>
      <w:r>
        <w:t>Considérée globalement, l'activité exercée par Me B______ pour la défense des intérêts de A______ dans le cadre de la procédure d'appel est en adéquation avec la nature, l'importance et la difficulté de la cause.</w:t>
      </w:r>
    </w:p>
    <w:p>
      <w:r>
        <w:t>En conclusion, l'indemnité sera fixée à CHF 2'494.80, comprenant les frais de déplacement relatifs à la consultation du dossier et à l'audience d'appel, la majoration</w:t>
      </w:r>
    </w:p>
    <w:p>
      <w:r>
        <w:t>- 29/32 - P/4302/2012 forfaitaire de 10% (CHF 210.-), compte tenu de l'activité déjà indemnisée en première instance, et l'équivalent de la TVA au taux de 8% (CHF 184.80). * * * * *</w:t>
      </w:r>
    </w:p>
    <w:p>
      <w:r>
        <w:t>- 30/32 - P/4302/2012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