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AARP/73/2014 vom 25. Februar 2014</w:t>
      </w:r>
    </w:p>
    <w:p>
      <w:r>
        <w:t>GE Cour de justice, 2014-02-25, FR</w:t>
      </w:r>
    </w:p>
    <w:p>
      <w:r>
        <w:rPr>
          <w:b/>
        </w:rPr>
        <w:t xml:space="preserve">Quelle: </w:t>
      </w:r>
      <w:r>
        <w:t>https://mcp.opencaselaw.ch/entscheid/ge_gerichte_AARP_73_2014</w:t>
      </w:r>
    </w:p>
    <w:p>
      <w:r>
        <w:t>FR: GE_GERICHTE AARP/73/2014 du 25 février 2014</w:t>
      </w:r>
    </w:p>
    <w:p>
      <w:r>
        <w:t>IT: GE_GERICHTE AARP/73/2014 del 25 febbraio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p. 33 ss, ATF 124 IV 86 consid. 2a p. 87 ss).</w:t>
      </w:r>
    </w:p>
    <w:p>
      <w:r>
        <w:t>- 12/22 - P/11952/2011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w:t>
      </w:r>
    </w:p>
    <w:p>
      <w:r>
        <w:rPr>
          <w:b/>
        </w:rPr>
        <w:t>E. 2.2</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admise lorsque l'auteur exploite un rapport de confiance préexistant propre à dissuader la dupe d'effectuer certaines vérifications (ATF 126 IV 165 consid. 2a p. 171 ; 125 IV 124 consid. 3a p. 127 s. et les arrêts cités).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w:t>
      </w:r>
    </w:p>
    <w:p>
      <w:r>
        <w:t>- 13/22 - P/11952/2011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 (arrêt du Tribunal fédéral 6B_530/2008 du 8 janvier 2009 consid 3.3 avec référence aux ATF 122 IV 279 consid. 2a p. 281 et 121 IV 104 consid. 2c p. 107 s). Lorsque la dupe porte préjudice non pas à ses propres intérêts mais à ceux d'un tiers, la réalisation de l'escroquerie nécessite que la dupe soit responsable du patrimoine visé et au moins qu'elle puisse en disposer effectivement (ATF 133 IV 171 consid. 4.3 p. 175).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2.3.1 Les dénégations de l'appelant sont difficilement compréhensibles, tant un faisceau d'indices l'accable quant à sa culpabilité dans le dossier D______. La partie plaignante le met indirectement en cause, en tant qu'elle a d'emblée de jeu décrit la présence d'un tiers aux côtés de son interlocuteur principal. Certes, l'appelant n'a pas été formellement reconnu à sa voix. S'il devait s'agir du seul indice, il ne serait assurément pas suffisant pour asseoir sa culpabilité. Mais le rôle en retrait de l'associé "colle" à la personne de l'appelant qui n'avait pas la possibilité, eu égard à un ancien contentieux, d'apparaître au grand jour, comme l'a d'ailleurs expliqué l'intimé. L'activité</w:t>
      </w:r>
    </w:p>
    <w:p>
      <w:r>
        <w:t>- 14/22 - P/11952/2011 de l'appelant ressort de la téléphonie, qui révèle de nombreux contacts avec l'intimé, notamment le 20 février 2012, date à laquelle l'appelant a lui-même admis avoir été présent aux côtés de son ami à la rue du Rhône. Sa présence est corroborée par les dires de l'intimé qui a décrit le rôle de l'appelant comme étant celui auquel le sac contenant les liasses de billets a été remis aussitôt après la transaction. Les déclarations de l'intimé sont accablantes pour l'appelant qui est décrit comme celui qui a imaginé le "coup" dont a été victime la partie plaignante. Une telle mise en cause pourrait être fondée sur une volonté de faire reporter la responsabilité principale de l'infraction sur un tiers aux fins de diminuer la sienne en contrepartie. Plusieurs éléments permettent d'écarter cette hypothèse : - d'une manière générale tout d'abord, les déclarations de l'intimé peuvent être tenues pour fiables et constantes, hormis ses dénégations initiales qu'il a rapidement abandonnées. Plusieurs précisions qu'il a apportées ont été validées par l'appelant. Ainsi en est-il du stratagème de surenchère pour le prix de vente ou de l'existence d'un contentieux antérieur dans le domaine du logement, même si le récit qu'en a fait l'appelant à son ami reste loin de la version servie par la victime ; - la présence de l'ADN de l'appelant sur les élastiques des faux billets constitue un indice à charge accablant, que les explications lénifiantes de l'appelant ne sont pas de nature à affaiblir ; - l'escroquerie du type "rip deal" n'est pas étrangère à l'appelant, si on se fie aux actes d'instruction dans le canton de Vaud. De la même manière, la présence de faux billets de CHF 1'000.- est aussi évoquée dans le dossier F______ pour lequel l'appelant a fini par admettre sa culpabilité ; - les écrits de l'appelant à l'intimé, qu'il espérait ne pas être interceptés, viennent conforter d'une manière décisive la présence de l'appelant aux côtés de l'intimé ainsi que son rôle prépondérant dans les contacts avec la victime. Le scénario et les diverses parades pour déjouer les investigations judiciaires y sont décrits avec précision. Les dénégations de l'appelant pour dénier à ces écrits la qualité d'instructions fournies à son comparse en affaires sont dénuées de toute crédibilité, à l'instar de ses explications qui peuvent au mieux être taxées de farfelues. Il s'ensuit que la participation de l'appelant à l'escroquerie dont a été victime la partie plaignante D______ doit être tenue pour réalisée. 2.3.2 La qualification d'escroquerie n'a pas sérieusement été mise en doute par l'appelant. Il y a toutefois lieu d'y revenir brièvement, ne serait-ce que pour confirmer la réalisation des éléments constitutifs de cette infraction.</w:t>
      </w:r>
    </w:p>
    <w:p>
      <w:r>
        <w:t>- 15/22 - P/11952/2011 La tromperie est un fait acquis. Pour preuves les déclarations sur la stratégie à suivre et les instructions destinées à convaincre son comparse des réponses à fournir pour donner à la victime un profil d'auteur. Il y a eu enrichissement illégitime, avec la perte de EUR 50'000.-, cet argent étant revenu à l'appelant qui l'a reçu des mains de l'intimé. Enfin, il est acquis que les auteurs de l'escroquerie n'avaient ab initio aucun moyen ni volonté d'acquérir le fonds de commerce, les négociations menées n'étant que purs prétextes pour aboutir à leurs fins. La condition de l'astuce est plus délicate, tant les apparences pourraient laisser penser à une faute concomitante de la dupe. Le comportement de la partie plaignante peut effectivement être qualifié de surprenant de prime abord. Ainsi en est-il de sa reprise de contact après une première transaction avortée, bien qu'il ne faille pas surestimer la portée de cet événement en raison du motif invoqué par la victime. Celle-ci a refusé de poursuivre la transaction non pas pour avoir remarqué la présence de faux billets, mais bien en raison de l'impossibilité qui lui a été imposée de pouvoir faire un décompte de l'argent à l'abri des regards. Il convient de ne pas perdre de vue que cette opération s'est inscrite dans la durée, soit durant cinq semaines pendant lesquelles la victime s'est "accrochée" à la planche de salut que constituait l'opportunité de vendre son commerce à un bon prix. Ce n'est d'ailleurs qu'après un désistement que la dupe a repris contact, ce qui démontre bien sa volonté de vouloir arriver à ses fins après des négociations où elle n'avait pas été ménagée. Un élément personnel a aussi joué un rôle important. La victime s'est retrouvée en situation de vulnérabilité en raison de la grave maladie de son fils qui lui imposait de conclure rapidement, aux fins d'être plus présente à ses côtés. Les auteurs ont d'ailleurs profité de son impatience, en la mettant à profit pour proposer une transaction couplée avec une opération de change, ce qui leur permettait de réaliser un "rip deal" classique. Il convient aussi de ne pas oublier que l'appelant et l'intimé se sont relayés auprès de la victime pour la convaincre de céder, d'abord par de très nombreuses visites sur place puis par des contacts téléphoniques. La présence d'un associé chargé du financement de l'opération était aussi de nature à conforter la victime dans la tromperie. Au regard des éléments qui précèdent, l'absence de questionnement de la part de la victime ne saurait à elle seule représenter un obstacle à la réalisation de la tromperie astucieuse, qui sera admise en l'espèce comme l'a implicitement reconnu l'appelant. Aussi le jugement du Tribunal correctionnel sera-t-il confirmé s'agissant de la culpabilité de l'appelant dans le dossier D______.</w:t>
      </w:r>
    </w:p>
    <w:p>
      <w:r>
        <w:rPr>
          <w:b/>
        </w:rPr>
        <w:t>E. 3.1</w:t>
      </w:r>
    </w:p>
    <w:p>
      <w:r>
        <w:t>Les critères énumérés, de manière non exhaustive, par l'art. 47 CCP correspondent à ceux fixés par l'art. 63 aCP et la jurisprudence élaborée en application de cette ancienne disposition conserve toute sa valeur, de sorte que l'on peut continuer à s'y référer (arrêt du Tribunal fédéral 6B_992/2008 du 5 mars 2009 consid. 5.1).47.18</w:t>
      </w:r>
    </w:p>
    <w:p>
      <w:r>
        <w:t>- 16/22 - P/11952/2011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3.2.1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3.2.2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w:t>
      </w:r>
    </w:p>
    <w:p>
      <w:r>
        <w:t>- 17/22 - P/11952/2011 été condamné à une peine trop clémente, il n'y a cependant pas de droit à une "égalité de traitement dans l'illégalité" (ATF 135 IV 191 consid. 3.3 p. 194).</w:t>
      </w:r>
    </w:p>
    <w:p>
      <w:r>
        <w:rPr>
          <w:b/>
        </w:rPr>
        <w:t>E. 3.3</w:t>
      </w:r>
    </w:p>
    <w:p>
      <w:r>
        <w:t>D'après l'art. 49 al. 1 CP, si, en raison d'un ou de plusieurs actes, l'auteur remplit les conditions de plusieurs peines de même genre, le juge le condamne à la peine de l'infraction la plus grave et l'augmente dans une juste proportion.</w:t>
      </w:r>
    </w:p>
    <w:p>
      <w:r>
        <w:t>3.4.1 L'art. 86 al. 1 CP énumère les conditions auxquelles la libération conditionnelle peut être accordée à un détenu. S'il est libéré conditionnellement, il lui est imparti un délai d'épreuve égale à la durée à la durée du solde de sa peine (art. 87 al. 1 CP). L'art. 89 CP règle le sort du détenu libéré conditionnellement qui récidive durant le délai d'épreuve. Le juge qui connait de la nouvelle infraction ordonne sa réintégration dans l'établissement ou y renonce, cas échéant en prolongeant le délai d'épreuve (art. 89 al. 1 et 2 CP). Selon le Message concernant la modification du Code pénal suisse (dispositions générales, entrée en vigueur et application du Code pénal) […] du 21 septembre 1998 ; FF 1999 1787), l'échec de la mise à l'épreuve au sens de l'article 89 al. 2 CP suppose la commission d'un crime ou d'un délit, laissant présager que le détenu libéré conditionnellement ne s'en tiendrait pas là. Un tribunal devait décider de la réintégration en procédant à une "projection comportementale dans l'avenir", excluant une "infraction accidentelle" comme indice d'échec (FF 1999 1929). Pris à la lettre, l'art. 89 al. 1 CP a un caractère impératif. Néanmoins, l'obligation faite au juge de réintégrer le récidiviste est grandement édulcorée par l'art. 89 al. 2 CP qui prévoit que lorsqu'il n'y a pas lieu de craindre que le condamné ne commette de nouvelles infractions dans le futur, le juge renonce ("Mussvorschrift") à la réintégration (R. ROTH / L. MOREILLON (éds), op. cit., n. 7 ad art. 89). Autrement dit, le juge doit renoncer à la réintégration lorsque la récidive ne constitue pas un indice d'échec et ne justifie pas de modifier le pronostic favorable posé lors de la libération conditionnelle (M. DUPUIS / B. GELLER / G. MONNIER / L. MOREILLON / C. PIGUET / C. BETTEX / D. STOLL (éds), Code pénal - Petit commentaire, Bâle 2012, n. 8 ad art. 89).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Dans le même sens. M. NIGGLI / H. WIPRÄCHTIGER (op. cit., n. 3 ad art. 89)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w:t>
      </w:r>
    </w:p>
    <w:p>
      <w:r>
        <w:t>- 18/22 - P/11952/2011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 3.4.2 Si, en raison de la nouvelle infraction, les conditions d'une peine privative de liberté fermes sont réunies et que celle-ci entre en concours avec le solde de la peine devenue exécutoire à la suite de la révocation, le juge prononce, en vertu de l'art. 49 CP, une peine d'ensemble (art. 89 al. 6 CP). Il ne doit pas se contenter de cumuler les deux peines (M. DUPUIS / B. GELLER / G. MONNIER / L. MOREILLON / C. PIGUET / C. BETTEX / D. STOLL (éds), op. cit., n. 13 ad art. 89). La décision du juge constitue une "Mussvorschrift" à l'instar de celle qui prévaut à l'art. 89 al. 2 CP (R. ROTH / L. MOREILLON (éds), op. cit., n. 16 ad art. 89).</w:t>
      </w:r>
    </w:p>
    <w:p>
      <w:r>
        <w:rPr>
          <w:b/>
        </w:rPr>
        <w:t>E. 3.5</w:t>
      </w:r>
    </w:p>
    <w:p>
      <w:r>
        <w:t>En 2007, la Cour correctionnelle (ACC/52/2007) s'est exprimée en ces termes s'agissant de son appréciation de la peine à infliger au prévenu, reconnu coupable de plusieurs escroqueries par métier et d'abus de confiance : "les faits reprochés à [X______] sont graves, en ce sens qu’il a trahi la confiance mise en lui par des personnes qu'il connaissait et d'autres qui lui ont fait confiance, en leur faisant miroiter d'excellentes affaires à réaliser dans l'achat de voitures neuves ou d'occasion. Dans un autre cas, il a profité des usages commerciaux pour se faire livrer des biens matériels sans contrepartie. Ses actes sont d’autant plus déplaisants qu’il savait que plusieurs victimes intéressées à l'achat de voitures étaient sans connaissance particulière du marché automobile. Son activité délictuelle a été intense (…). Durant toutes ces années, [X______] n'a fait que répéter un scénario bien huilé, n'hésitant pas à replonger dans la voie de la délinquance après sa libération conditionnelle de 2000 et sa libération provisoire de 2004" (arrêt de la Cour correctionnelle du 30 novembre 2007, p. 16). Les termes utilisés en 2007 pourraient, à quelques nuances près, être repris dans le présent chapitre consacré à la peine. C'est dire si l'évolution dont se prévaut l'appelant pour solliciter une peine plus clémente n'en est, au mieux, qu'à ses prémisses. Il est frappant de constater que le même scénario se répète de fois en fois, comme il en est de</w:t>
      </w:r>
    </w:p>
    <w:p>
      <w:r>
        <w:t>- 19/22 - P/11952/2011 la reprise de contact avec un spécialiste en commerce automobile dont il connaissait la probité douteuse ou du peu de cas dont l'appelant se fait de la confiance accordée pour une libération conditionnelle. En "reprenant du service" dans le commerce de véhicules automobiles avant le terme du délai d'épreuve, l'appelant a non seulement trahi la confiance que le Tribunal d'application des peines et mesures lui avait accordée en 2009 mais il a de surcroît enfreint la mesure qui s'imposait à lui de ne pas exercer d'activité dans le domaine financier dans un délai de cinq ans à compter de 2007. L'appelant a ainsi démontré par son comportement qu'il n'a cure des interdictions qui lui sont imposées dès lors que s'offre à lui l'opportunité de réaliser des gains en profitant de la crédulité d'autrui. Sa faute est grave. L'appelant n'a pas hésité à multiplier les ruses et les mensonges par appât du gain, sans vouloir se rendre compte que ses actes avaient pour effet de spolier des victimes dont le seul tort avait été de lui faire confiance. Il a diversifié ses cibles, en faisant preuve d'une créativité peu commune. Pour deux des infractions, il s'est adjoint les services d'un tiers dont il connaissait le passé judiciaire. Il s'en est servi pour mieux pouvoir rester en arrière-plan, ce que sa connaissance de sa future victime imposait. L'appelant avait l'ascendant sur son comparse en affaires, ainsi que les instructions fournies depuis la prison le démontrent. Sa capacité d'introspection reste limitée, tant il est apparu au cours de l'instruction sur la défensive, reconnaissant certes des faits isolés mais sans une remise en question qui puisse être qualifiée de sérieuse. Ses antécédents sont mauvais et leur poids est d'autant plus important que toutes les condamnations subies depuis 1997 portent sur des délits spécifiques. Il n'est pas possible de fonder sur cette base un pronostic qui ne soit pas défavorable, de sorte que sa réintégration est justifiée. Sa peine est adaptée à la gravité des actes et à l'ensemble des circonstances. La comparaison avec la peine infligée à l'intimé n'autorise pas une autre conclusion, tant la culpabilité des deux condamnés diffère (pour l'intimé, période pénale plus restreinte, deux seules occurrences, rôle d'exécutant). Ainsi le jugement de première instance sera-t-il entièrement confirmé.</w:t>
      </w:r>
    </w:p>
    <w:p>
      <w:r>
        <w:rPr>
          <w:b/>
        </w:rPr>
        <w:t>E. 4</w:t>
      </w:r>
    </w:p>
    <w:p>
      <w:r>
        <w:t>Par ordonnance séparée du Tribunal correctionnel prononcée à l'issue de l'audience, le maintien en détention de l'appelant a été ordonné. Les motifs retenus peuvent être repris mutatis mutandis ici, le risque de récidive ayant été admis pour justifier la révocation de la libération conditionnelle accordée en 2009. Le risque de fuite peut être tenu pour accru nonobstant les liens familiaux, dès lors que l'appelant se sait désormais en appel condamné à une peine importante.</w:t>
      </w:r>
    </w:p>
    <w:p>
      <w:r>
        <w:t>- 20/22 - P/11952/2011</w:t>
      </w:r>
    </w:p>
    <w:p>
      <w:r>
        <w:rPr>
          <w:b/>
        </w:rPr>
        <w:t>E. 5</w:t>
      </w:r>
    </w:p>
    <w:p>
      <w:r>
        <w:t>L'appelant, qui succombe, supportera les frais de la procédure envers l'État (art. 428 CPP), lesquels comprennent une indemnité de procédure de CHF 3'000.- (art. 14 al. 1 let. c du règlement fixant le tarif des frais en matière pénale, E 4 10.03). * * * * *</w:t>
      </w:r>
    </w:p>
    <w:p>
      <w:r>
        <w:t>- 21/22 - P/11952/2011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