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AARP/72/2026 vom 2. März 2026</w:t>
      </w:r>
    </w:p>
    <w:p>
      <w:r>
        <w:t>GE Cour de justice, 2026-03-02, FR</w:t>
      </w:r>
    </w:p>
    <w:p>
      <w:r>
        <w:rPr>
          <w:b/>
        </w:rPr>
        <w:t xml:space="preserve">Quelle: </w:t>
      </w:r>
      <w:r>
        <w:t>https://mcp.opencaselaw.ch/entscheid/ge_gerichte_AARP_72_2026</w:t>
      </w:r>
    </w:p>
    <w:p>
      <w:r>
        <w:t>FR: GE_GERICHTE AARP/72/2026 du 2 mars 2026</w:t>
      </w:r>
    </w:p>
    <w:p>
      <w:r>
        <w:t>IT: GE_GERICHTE AARP/72/2026 del 2 marzo 2026</w:t>
      </w:r>
    </w:p>
    <w:p>
      <w:pPr>
        <w:pStyle w:val="Heading2"/>
      </w:pPr>
      <w:r>
        <w:t>Erwägungen</w:t>
      </w:r>
    </w:p>
    <w:p>
      <w:r>
        <w:rPr>
          <w:b/>
        </w:rPr>
        <w:t>E. 1</w:t>
      </w:r>
    </w:p>
    <w:p>
      <w:r>
        <w:t>Les appels sont recevables pour avoir été interjetés et motivés selon la forme et dans les délais prescrits (art. 398 et 399 du Code de procédure pénale [CPP]). Il sera pris acte du retrait de l'appel formé par G______.</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144 IV 345 consid. 2.2.3.3). 2.2.1. Selon l'art. 215 al. 1 CPP, afin d'élucider une infraction, la police peut appréhender une personne et, au besoin, la conduire au poste dans les buts d'établir son identité (let. a), de l'interroger brièvement (let. b), de déterminer si elle a commis une</w:t>
      </w:r>
    </w:p>
    <w:p>
      <w:r>
        <w:t>- 10/24 - P/23041/2023 infraction (let. c) ou de déterminer si des recherches doivent être entreprises à son sujet ou au sujet d'objets se trouvant en sa possession (let. d).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Tandis que l'appréhension, au sens de l'art. 215 CPP, a pour but d'élucider une infraction, le contrôle préventif de police, en tant qu'instrument de prévention, prend logiquement place avant la commission d'une infraction (Y. JEANNERET / A. KUHN / C. PERRIER DEPEURSINGE [éds], Commentaire romand : Code de procédure pénale suisse, 2ème éd., Bâle 2019, n. 3 et 6 ad art. 215). 2.2.2.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2.2.3. La Cour européenne des droits de l'homme (CourEDH) a récemment condamné la Suisse pour profilage racial, en violation des art. 8 et 14 CEDH (arrêt CourEDH Wa Baile contre Suisse du 20 février 2024, réquisitions n° 43868/18 et 25883/21). Le cas traité concernait un Suisse d'origine kenyane qui avait été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w:t>
      </w:r>
    </w:p>
    <w:p>
      <w:r>
        <w:t>- 11/24 - P/23041/2023 parvenue à réfuter (le gouvernement alléguait que d'autres individus avaient été contrôlés ce jour-là sans indiquer le nombre d'interpellations ou des détails pertinents à ce sujet) (§127 à 136).</w:t>
      </w:r>
    </w:p>
    <w:p>
      <w:r>
        <w:rPr>
          <w:b/>
        </w:rPr>
        <w:t>E. 2.3</w:t>
      </w:r>
    </w:p>
    <w:p>
      <w:r>
        <w:t>L'infraction à l'art. 19 al. 1 let. d LStup punit quiconque, sans droit, possède, détient ou acquiert des stupéfiants ou s’en procure de toute autre manière.</w:t>
      </w:r>
    </w:p>
    <w:p>
      <w:r>
        <w:rPr>
          <w:b/>
        </w:rPr>
        <w:t>E. 2.4</w:t>
      </w:r>
    </w:p>
    <w:p>
      <w:r>
        <w:t>L'art. 115 al. 1 let. a LEI punit d’une peine privative de liberté d’un an au plus ou d’une peine pécuniaire quiconque contrevient aux dispositions sur l’entrée en Suisse. Les ressortissants du Nigéria sont soumis à l'obligation de disposer d'un visa. Sont exemptés de cette obligation de visa les titulaires d’une autorisation de séjour valable délivrée par un État Schengen ou d’un visa D valable, pour autant qu’ils soient en possession d’un document de voyage reconnu et en cours de validité. Le ressortissant étranger doit également disposer des moyens suffisants pour séjourner dans le pays ; le Secrétariat d’État aux migrations (SEM) considère qu'une somme de CHF 100.- par jour est adéquate1. Selon l'art. 119 al. 1 LEI, quiconque enfreint une interdiction de pénétrer dans une région déterminée (art. 74) est puni d'une peine privative de liberté de trois ans au plus ou d'une peine pécuniaire. 2.5.1. L'appelant A______ se prévaut d'appréhensions arbitraires, affirmant avoir été victime d’un profilage racial lors de son interpellation les 9 janvier, 10 février, 6 et 28 juin 2024. L'interpellation du 10 février 2024 faisait suite à l'appel de la partie plaignante, en lien avec les faits survenus ce jour-là ; la requérante a expressément désigné l'appelant aux policiers et on ne saurait donc reprocher à ceux-ci d'avoir fait leur travail. Le 9 janvier 2024, l'attention de la police s'est dirigée vers l'appelant en raison de sa ressemblance avec une personne recherchée ; là non plus, on ne saurait reprocher aux policiers de procéder aux contrôles liés à leur activité. Ces interpellations s'inscrivent dans une activité légitime de contrôle d'identité, en application de l'art. 47 LPol. Elles relèvent d'une action préventive, ressortissant au droit de police. L'existence d'un soupçon concret de commission d'infraction n'était pas nécessaire, l'art. 215 CPP ne trouvant pas application. Le 6 juin 2024, les policiers ont interpellé l'appelant sur un lieu connu pour être fréquenté par les trafiquants et consommateurs de stupéfiants (rue de la Coulouvrenière, soit à proximité immédiate des bâtiments des Forces Motrices et de S______), à une heure propice à ce type de trafic. L'appelant n'a pas allégué avoir un motif de se trouver en ce lieu, étant rappelé qu'il n'avait pas le droit de se trouver à Genève. Certes, le rapport ne détaille pas quel comportement le prévenu venait</w:t>
      </w:r>
    </w:p>
    <w:p>
      <w:r>
        <w:t>1 https://www.sem.admin.ch/sem/fr/home/themen/einreise/faq.html#-48398867 ch. 3.2; consulté le 11 février 2026.</w:t>
      </w:r>
    </w:p>
    <w:p>
      <w:r>
        <w:t>- 12/24 - P/23041/2023 d'adopter pour déterminer les agents à le contrôler et une précision à ce sujet aurait été la bienvenue. Mais le prévenu n'a pas jugé utile de requérir l'audition des policiers sur ce point pour autant, que ce soit en première instance ou en appel, de sorte qu'il est réputé y avoir renoncé. Le 28 juin 2024, l'appelant a notamment changé de direction à la vue des gendarmes, ce qui était de nature à attirer leur attention et justifie leur intervention ; ils étaient légitimés, partant, à exiger de l'appelant qu'il justifiât de son identité. Il n'appert ainsi pas que son interpellation n'aurait eu d'autre motif que sa couleur de peau, comme il le soutient, compte tenu des indices objectifs (attitude suspecte et lieu gangréné par le trafic de stupéfiants). De tels indices distinguent l'affaire Wa Baile c/ Suisse de la présente cause. Ainsi, la conclusion de la défense, tendant à l'acquittement tiré de l’inexploitabilité des preuves, doit être rejetée. 2.5.2. L'appelant ne conteste au surplus pas la matérialité des faits, soit la violation répétée de l'interdiction de pénétrer dans le canton de Genève. Le fait de se rendre à un rendez-vous avec son avocat, prévu le 9 janvier 2024 à 16h, n'explique pas la présence de l'appelant, quatre heures plus tôt, à la place Bel-Air, surtout si, comme il le soutient, il vivait à Q______ [France], étant rappelé qu'une ligne de tram (17) relie directement cette commune française au quartier de L______, en à peine plus d'une demi-heure. A fortiori, un rendez-vous d'avocat n'explique pas la présence de l'appelant trois jours plus tard (le samedi 10 février), tard le soir, à la rue 1______, soit à proximité immédiate du quartier de S______. Le fait de rechercher des papiers d'identité auprès des objets trouvés, service situé dans le quartier de Rive, sur le trajet de la ligne 17 également, ne justifie pas non plus de se trouver à proximité de Bel-Air (surtout à 22h le soir) ni aux Pâquis, étant au surplus relevé que ce service répond aux courriels à teneur de son site internet. L'appelant a d'ailleurs été interpellé en février 2025 en possession de son passeport émis en 2022 (il ne s'agit donc pas d'un document renouvelé, contrairement à ce que soutient son conseil), ce qui permet de douter de l'affirmation selon laquelle celui-ci aurait été volé. Ces faits sont donc bien constitutifs d'infractions à l'art. 119 LEI. Ils sont également constitutifs d'entrée illégale, sauf s'agissant des faits du 9 janvier 2024 puisque l'appelant, en possession de son passeport et de son titre de séjour italien, n'était donc pas sujet à l'obligation de visa et disposait d'une somme suffisante. En revanche, au mois de juin 2024, n'étant pas en possession de ces documents, il ne pouvait entrer en Suisse. L'obligation de détenir les documents valables doit en effet être remplie au moment de l'entrée dans le pays ; le fait d'avoir disposé d'un tel document par le passé ne suffit pas. Il importe peu que l'appelant ait oublié, perdu, égaré son passeport ou intentionnellement omis de s'en munir : sans ce document il ne pouvait pas entrer en Suisse.</w:t>
      </w:r>
    </w:p>
    <w:p>
      <w:r>
        <w:t>- 13/24 - P/23041/2023 2.5.3. L'appelant conteste également sa condamnation pour infraction à l'art. 19 al. 1 LStup. Il ressort toutefois clairement des circonstances de son interpellation qu'il venait de vendre une boulette de cocaïne à un toxicomane. Le fait que le gendarme qui l'a vu entrer et sortir du véhicule n'ait pas distinctement assisté à une transaction n'est pas pertinent. Le conducteur de ce véhicule a été suivi et interpellé moins de 200 mètres plus loin, et a extrait une boulette de cocaïne de sa bouche qu'il a remise aux policiers, laquelle a été dûment placée en inventaire. Le fait qu'aucune confrontation n'ait eu lieu entre l'appelant et ce consommateur ne diminue en rien la force probante de ce faisceau d'indices (lieu notoire de trafic ; brève entrée-sortie dans le véhicule à l'arrêt ; interpellation immédiatement après de l'appelant et du conducteur ; remise immédiate par celui-ci d'une boulette de cocaïne). Les critiques de l'appelant à cet égard sont vaines : il était logique que le policier interroge ce conducteur sur une éventuelle transaction de stupéfiants pour lui expliquer les raisons de son interpellation ; il était tout aussi logique que ce conducteur remette alors la boulette qu'il venait d'acquérir et en explique les circonstances. Ce verdict de culpabilité doit également être confirmé. 2.5.4. L'appelante conclut à ce que les deux prévenus soient reconnus coupables de lésions corporelles simples, subsidiairement de voies de fait à son encontre. Elle est toutefois la seule à déclarer avoir reçu un coup de l'un et l'autre. Ni sa propre mère, ni son beau-père, ni le témoin n'ont vu les prévenus porter de coup ; ceux-ci le contestent également. La mêlée a manifestement été confuse et il n'est pas possible dans ces circonstances d'établir exactement si un coup a été porté à l'appelante, et encore moins par qui. Les contradictions qu'elle relève à l'appui de ses conclusions ne portent pas sur cet aspect des événements et confirment la confusion de l'altercation. Seuls sont établis les coups portés par son beau-père, qui n'a pas fait appel de sa condamnation. Il n'est d'ailleurs pas exclu, à la lecture de l'ensemble des déclarations, que l'appelante ait joué un rôle dans le déclenchement des faits. Le certificat médical produit n'a pas la portée qu'elle lui prête puisqu'il n'atteste en rien de la survenance d'une nouvelle lésion : la mention "Nouveau traumatisme sur la face interne le 10/02/2024 avec aggravation des douleurs" rapporte manifestement les plaintes de la patiente qui ont motivé l'examen effectué, mais ne constate aucune lésion nouvelle et notamment pas l'éventuel traumatisme du 10 février 2024. Les photos prises le jour des faits permettent de constater un léger bleu sous le genou, ce qui ne permet pas de dire s'il est compatible avec les faits ou l'existence d'une lésion antérieure ; les rougeurs sur la main et la trace sur le bras sont tout aussi dépourvues de portée probante. Au surplus, ces photos n'expliquent pas le mécanisme de survenance des éventuelles lésions. Dans ces circonstances, et au vu des déclarations contradictoires, rien ne permet de prêter plus de crédit à une version qu'à l'autre. Le doute qui subsiste doit profiter aux prévenus et les acquittements prononcés par le premier juge confirmés. L'appel est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- 14/24 - P/23041/2023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w:t>
      </w:r>
    </w:p>
    <w:p>
      <w:r>
        <w:t>- 15/24 - P/23041/2023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w:t>
      </w:r>
    </w:p>
    <w:p>
      <w:r>
        <w:rPr>
          <w:b/>
        </w:rPr>
        <w:t>E. 3.3</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L'art. 46 al. 2 CP dispose que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ne se justifie ainsi qu'en cas de pronostic défavorable, à savoir lorsque la nouvelle infraction laisse entrevoir une réduction sensible des perspectives de succès de la mise à l'épreuve.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3.4.1. En l'espèce, la faute de l'appelant A______ est importante ; même si pris individuellement les faits reprochés ne constituent pas des délits graves, leur multiplication interpelle. Il a violé de façon répétée plusieurs interdictions en vigueur, s'affranchissant par commodité personnelle des obligations relatives aux conditions d'entrée en Suisse. Il a vendu une boulette de cocaïne, manifestement dans le but de se procurer un revenu illicite. Sa collaboration a été mauvaise ; il a parfois refusé de</w:t>
      </w:r>
    </w:p>
    <w:p>
      <w:r>
        <w:t>- 16/24 - P/23041/2023 s'exprimer, ce qui est certes son droit, mais a persisté à nier l'évidence (notamment en lien avec le trafic de stupéfiants) jusqu'en appel. Il a répété ses agissements sur une brève période puisqu'il a été, dans la présente cause, interpellé à quatre reprises en moins de six mois, et à nouveau moins d'un an plus tard, dans le canton de Genève dont l'accès lui était interdit, ce qui démontre son peu de respect des interdits en vigueur. Sa situation personnelle est sans particularité, étant relevé qu'il est au bénéfice d'un titre de séjour en Italie et, à teneur de ses déclarations, avait un emploi lui permettant de subvenir à ses besoins. Ses déplacements répétés en Suisse et à Genève ne s'expliquent pas et il ne lui aurait pas été difficile de s'en abstenir puisqu'il a ses attaches ailleurs. Ses antécédents sont récents et spécifiques ; manifestement les condamnations antérieures à des peines pécuniaires avec sursis ne l'ont pas dissuadé de récidiver. Au vu des circonstances et notamment de la répétition des infractions dans un laps de temps relativement bref, seule une peine privative de liberté ferme est susceptible de dissuader l'appelant de récidiver. Les infractions à l'art. 119 LEI et à l'art. 19 al. 1 LStup étant passibles de la même peine, la peine de base sera fixée pour la première infraction commise, soit celle du 19 octobre 2023, qui justifie le prononcé d'une peine privative de liberté d'un mois. Cette peine devrait être aggravée de trois mois pour chacune des cinq occurrences (9 janvier, 10 février, 6 et 28 juin 2024, 13 février 2025) de violation d'une interdiction de pénétrer dans une région déterminée (art 119 al. 1 LEI ; peine théorique de six mois pour chaque cas), soit une aggravation totale de quinze mois qui dépasse largement le seuil de la peine prononcée par le premier juge qui lie la Cour de céans. Il est ainsi superflu de déterminer la peine pour les infractions à l'art. 115 LEI : la peine privative de liberté de sept mois, prononcée par le Tribunal de police, est manifestement clémente et doit être confirmée (art. 391 al. 2 CPP). Pour le même motif (interdiction de la reformation in peius), il n'y a pas matière à révoquer les sursis accordés les 22 et 30 septembre 2021. 3.4.2. La faute de l'appelant C______ n'est pas négligeable, mais demeure légère. Il a contrevenu aux ordres de la police et cherché à se soustraire à son interpellation, sans toutefois recourir à la violence. Il a pénétré en Suisse et y a séjourné alors qu'il était dépourvu d'autorisation de séjour. Il s'agit d'une occurrence isolée, ce qui justifie le prononcé d'une peine pécuniaire. L'appelant a néanmoins récidivé dans des infractions pour lesquelles il avait déjà été condamné à deux reprises au cours des trois années précédentes ; c'est d'ailleurs vraisemblablement aussi parce qu'il se savait sous le coup de deux sursis qu'il a cherché à se soustraire à son interpellation en février 2024, soit à peine deux mois après sa dernière condamnation. Sa motivation réside ainsi principalement dans la convenance personnelle doublée d'un indubitable mépris de l'autorité.</w:t>
      </w:r>
    </w:p>
    <w:p>
      <w:r>
        <w:t>- 17/24 - P/23041/2023 Sa situation personnelle n'est pas favorable mais n'explique pas son comportement ; il n'avait aucun motif de venir en Suisse. À raison, l'appelant ne conteste pas le prononcé d'une peine pécuniaire ferme. L'infraction la plus grave, soit celle à l'art. 115 al. 1 let. a et b LEI, justifie le prononcé d'une peine de 30 jours-amende, qui doit être aggravée de 15 jours-amende (peine théorique : 30 jours-amende) pour l'empêchement d'accomplir un acte officiel. L'appelant s'oppose à la révocation des sursis accordés les 19 avril 2021 et 19 décembre 2023. Il faut effectivement retenir que le prononcé d'une première peine pécuniaire ferme devrait permettre, cette fois, de décourager l'appelant de récidiver. Dans cette mesure, il sera renoncé à la révocation des sursis antérieurs. Afin néanmoins de le dissuader définitivement de récidiver, les délais d'épreuve des sursis antérieurs seront prolongés, à chaque fois, de la moitié de leur durée initiale.</w:t>
      </w:r>
    </w:p>
    <w:p>
      <w:r>
        <w:rPr>
          <w:b/>
        </w:rPr>
        <w:t>E. 4.1</w:t>
      </w:r>
    </w:p>
    <w:p>
      <w:r>
        <w:t>L'appelant A______, dont l'appel a nécessité de plus amples développements que ceux des deux autres appelants, obtient très partiellement gain de cause ; il succombe dans ses conclusions sur la peine mais résiste à l'appel formé par l'appelante F______. En conséquence, il supportera la moitié des frais de la procédure envers l'État (art. 428 CPP), lesquels comprendront un émolument de jugement de CHF 2'000.-.</w:t>
      </w:r>
    </w:p>
    <w:p>
      <w:r>
        <w:t>L'appelante F______, dont l'appel a nécessité de nettement moindres développements mais qui succombe intégralement, supportera un cinquième de ces frais. Le solde des frais d'appel sera laissé à la charge de l'État, l'appelant C______ obtenant essentiellement gain de cause. Au vu de la modicité de l'activité liée à la constatation du retrait de l'appel formé par G______, il sera renoncé à percevoir des frais en lien avec ce constat.</w:t>
      </w:r>
    </w:p>
    <w:p>
      <w:r>
        <w:rPr>
          <w:b/>
        </w:rPr>
        <w:t>E. 4.2</w:t>
      </w:r>
    </w:p>
    <w:p>
      <w:r>
        <w:t>Compte tenu de la confirmation, pour l'essentiel, du verdict du premier juge, il n'y a pas lieu de revoir la répartition des frais de la procédure préliminaire et de première instance. Les émoluments complémentaires mis à la charge de C______ et de A______ seront toutefois laissés, intégralement, respectivement à raison d'un quart, à la charge de l'État afin de tenir compte de l'admission (partielle) de leur appel.</w:t>
      </w:r>
    </w:p>
    <w:p>
      <w:r>
        <w:rPr>
          <w:b/>
        </w:rPr>
        <w:t>E. 4.3</w:t>
      </w:r>
    </w:p>
    <w:p>
      <w:r>
        <w:t>L'appelante F______ succombant, ses conclusions en indemnisation seront rejetées (art. 433 CPP).</w:t>
      </w:r>
    </w:p>
    <w:p>
      <w:r>
        <w:rPr>
          <w:b/>
        </w:rPr>
        <w:t>E. 4.4</w:t>
      </w:r>
    </w:p>
    <w:p>
      <w:r>
        <w:t>L'appelant A______ succombant sur la peine, ses conclusions en indemnisation seront rejetées (art. 429 CPP).</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- 18/24 - P/23041/2023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- 19/24 - P/23041/2023</w:t>
      </w:r>
    </w:p>
    <w:p>
      <w:r>
        <w:rPr>
          <w:b/>
        </w:rPr>
        <w:t>E. 5.4</w:t>
      </w:r>
    </w:p>
    <w:p>
      <w:r>
        <w:t>En l'occurrence les états de frais produits par les conseils des prévenus satisfont les exigences légales et jurisprudentielles régissant l'assistance judiciaire en matière pénale, sous la réserve du temps consacré à la prise de connaissance du jugement entrepris qui relève de l'activité couverte par le forfait et ne sera pas pris en compte.</w:t>
      </w:r>
    </w:p>
    <w:p>
      <w:r>
        <w:t>La rémunération de Me B______ sera partant arrêtée à CHF 4'003.30 correspondant à 16 heures et 50 minutes d'activité au tarif de CHF 200.- /heure plus la majoration forfaitaire de 10% et l'équivalent de la TVA au taux de 8.1% en CHF 299.95. La rémunération de Me E______ sera partant arrêtée à CHF 1'704.40 correspondant à sept heures et dix minutes d'activité au tarif de CHF 200.- /heure plus la majoration forfaitaire de 10% et l'équivalent de la TVA au taux de 8.1% en CHF 127.70. La rémunération de Me I______ sera partant arrêtée à CHF 300.- correspondant à une heure et quart d'activité au tarif de CHF 200.-/heure plus la majoration forfaitaire de 20%. * * * * *</w:t>
      </w:r>
    </w:p>
    <w:p>
      <w:r>
        <w:t>- 20/24 - P/23041/2023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