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AARP/72/2025 vom 19. Februar 2025</w:t>
      </w:r>
    </w:p>
    <w:p>
      <w:r>
        <w:t>GE Cour de justice, 2025-02-19, FR</w:t>
      </w:r>
    </w:p>
    <w:p>
      <w:r>
        <w:rPr>
          <w:b/>
        </w:rPr>
        <w:t xml:space="preserve">Quelle: </w:t>
      </w:r>
      <w:r>
        <w:t>https://mcp.opencaselaw.ch/entscheid/ge_gerichte_AARP_72_2025</w:t>
      </w:r>
    </w:p>
    <w:p>
      <w:r>
        <w:t>FR: GE_GERICHTE AARP/72/2025 du 19 février 2025</w:t>
      </w:r>
    </w:p>
    <w:p>
      <w:r>
        <w:t>IT: GE_GERICHTE AARP/72/2025 del 19 febbraio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w:t>
      </w:r>
    </w:p>
    <w:p>
      <w:r>
        <w:t>2.1.1. D'après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2.1.2. De même que la capacité de discernement est présumée en droit civil s'il n'existe aucun motif de la mettre en doute (art. 16 du code civil suisse [CC] ; ATF 134 II 235 consid. 4.3.3), la pleine responsabilité de l'auteur est présumée en droit pénal (arrêt du Tribunal fédéral 6B_1129/2014 du 9 septembre 2015 consid. 4.2).</w:t>
      </w:r>
    </w:p>
    <w:p>
      <w:r>
        <w:t>- 6/16 - P/19854/2022 En vertu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133 IV 145 consid. 3.3 ; arrêt du Tribunal fédéral 6B_215/2023 du 16 mai 2023 consid. 2.1).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116 IV 273 consid. 4a et 4b). Estimer qu'il y a matière à doute quant à la responsabilité chaque fois qu'il est possible, voire vraisemblable, que les actes ont aussi une origine psychique serait excessif (arrêt du Tribunal fédéral 6P.41/2007 du 20 avril 2007 consid. 7.1 ; ATF 102 IV 225 consid. 7b). Inversement, il n'y a pas de raison sérieuse de douter de la responsabilité de l'auteur du simple fait que celui-ci a agi de manière irréfléchie, évolue dans un contexte familial difficile ou encore lorsque son comportement avant, pendant et après l'infraction démontre une connexion à la réalité (L. MOREILLON / A. MACALUSO / N. QUELOZ / N. DONGOIS [éds], Commentaire romand : Code pénal I, art. 1-110 CP, 2ème éd., Bâle 2021, n. 15 ad art. 20).</w:t>
      </w:r>
    </w:p>
    <w:p>
      <w:r>
        <w:rPr>
          <w:b/>
        </w:rPr>
        <w:t>E. 2.2</w:t>
      </w:r>
    </w:p>
    <w:p>
      <w:r>
        <w:t>En l'espèce, il est établi que l'appelant souffre depuis son enfance d'un trouble du déficit de l'attention avec hyperactivité et impulsivité, voire sans hyperactivité selon le certificat médical du 7 juin 2023. Par ailleurs, une curatelle de représentation et de gestion couvrant les tâches ressortant de l'assistance personnelle et de la représentation dans le domaine médical a été instituée en faveur de ce dernier par ordonnance du TPAE du 11 septembre 2023. Aucun élément ne permet toutefois de douter de sa responsabilité pénale au moment des faits visés. En effet, s'agissant des éventuels indices entourant la commission des faits reprochés, il convient de relever qu'hormis leur caractère pédosexuel, ils sont sans particularité ; les actes du prévenu ne sont ni contraires à sa personnalité ni totalement irrationnels. Il a au contraire fait montre de présence d'esprit et de lucidité en tentant de se débarrasser des fichiers illicites tant après avoir été mis en garde par ses amis qu'après l'appel des forces de l'ordre.</w:t>
      </w:r>
    </w:p>
    <w:p>
      <w:r>
        <w:t>- 7/16 - P/19854/2022 Sur le plan psychique, l'appelant n'a jamais intégré d'hôpital psychiatrique, il n'a pas fait l'objet d'une quelconque interdiction de l'exercice de ses droits civils – le Dr E______ ayant d'ailleurs relevé qu'une telle restriction n'apparaissait pas nécessaire, compte tenu de sa capacité à comprendre ses engagements –, il ne semble pas être alcoolique ni dépendant aux stupéfiants et n'a pas de retard mental à proprement parler, seulement un quotient intellectuel total dans la moyenne faible. Les nombreuses pièces produites en lien avec le trouble psychique dont souffre l'appelant ne laissent présumer aucune diminution de responsabilité. Les thérapeutes qui l'ont suivi ont souligné des troubles de l'attention, de la concentration et de l'organisation, voire une mauvaise gestion des émotions, mais rien n'indique que son état ait pu influencer sa capacité délictuelle ni qu'il souffrirait d'autres affections. Il n'a d'ailleurs aucun antécédent judiciaire. Dans ces conditions, en dépit des griefs de l'appelant à ce sujet, aucun élément "sérieux" ne commande de douter de sa responsabilité présumée au moment des faits, ni, par voie de conséquence, de mettre en œuvre une expertise psychiatrique sur ce point. La question préjudicielle soulevée par l'appelant doit être rejetée.</w:t>
      </w:r>
    </w:p>
    <w:p>
      <w:r>
        <w:rPr>
          <w:b/>
        </w:rPr>
        <w:t>E. 3.1</w:t>
      </w:r>
    </w:p>
    <w:p>
      <w:r>
        <w:t>La présomption d'innocence, garantie par les art. 10 CPP, 32 al. 1 de la Constitution fédérale de la Confédération suisse (Cst.), 14 par. 2 Pacte ONU II et</w:t>
      </w:r>
    </w:p>
    <w:p>
      <w:r>
        <w:rPr>
          <w:b/>
        </w:rPr>
        <w:t>E. 6</w:t>
      </w:r>
    </w:p>
    <w:p>
      <w:r>
        <w:t>L'appelant, qui succombe, supportera les frais de la procédure envers l'État (art. 428 CPP).</w:t>
      </w:r>
    </w:p>
    <w:p>
      <w:r>
        <w:rPr>
          <w:b/>
        </w:rPr>
        <w:t>E. 7</w:t>
      </w:r>
    </w:p>
    <w:p>
      <w:r>
        <w:t>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200.- pour le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w:t>
      </w:r>
    </w:p>
    <w:p>
      <w:r>
        <w:t>- 13/16 - P/19854/2022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7.2</w:t>
      </w:r>
    </w:p>
    <w:p>
      <w:r>
        <w:t>En l'espèce, il convient de retrancher de l'activité de Me B______ 1 heure d'activité, dès lors que la lecture du jugement et des déterminations de la CPAR, ainsi que la rédaction de la déclaration d'appel, qui n'a pas à être motivée, sont des activités comprises dans la majoration forfaitaire.</w:t>
      </w:r>
    </w:p>
    <w:p>
      <w:r>
        <w:t>En outre, l'activité consacrée à la rédaction du mémoire d'appel, soit 13 heures et 45 minutes, apparaît excessive, dans la mesure où le dossier est bien connu du conseil du prévenu au stade de l'appel, et sera dès lors ramenée à 8 heures, amplement suffisantes pour un mémoire de 17 pages.</w:t>
      </w:r>
    </w:p>
    <w:p>
      <w:r>
        <w:t>Sa rémunération sera partant arrêtée à CHF 3'345.30 correspondant à 14 heures et 4 minutes d'activité au tarif de CHF 200.-/heure (CHF 2'813.30) plus la majoration forfaitaire de 10% (CHF 281.30), vu l'activité rémunérée en première instance, et l'équivalent de la TVA au taux de 8.1% en CHF 250.70. * * * * *</w:t>
      </w:r>
    </w:p>
    <w:p>
      <w:r>
        <w:t>- 14/16 - P/19854/2022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