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AARP/72/2024 vom 4. März 2024</w:t>
      </w:r>
    </w:p>
    <w:p>
      <w:r>
        <w:t>GE Cour de justice, 2024-03-04, FR</w:t>
      </w:r>
    </w:p>
    <w:p>
      <w:r>
        <w:rPr>
          <w:b/>
        </w:rPr>
        <w:t xml:space="preserve">Quelle: </w:t>
      </w:r>
      <w:r>
        <w:t>https://mcp.opencaselaw.ch/entscheid/ge_gerichte_AARP_72_2024</w:t>
      </w:r>
    </w:p>
    <w:p>
      <w:r>
        <w:t>FR: GE_GERICHTE AARP/72/2024 du 4 mars 2024</w:t>
      </w:r>
    </w:p>
    <w:p>
      <w:r>
        <w:t>IT: GE_GERICHTE AARP/72/2024 del 4 marzo 2024</w:t>
      </w:r>
    </w:p>
    <w:p>
      <w:pPr>
        <w:pStyle w:val="Heading2"/>
      </w:pPr>
      <w:r>
        <w:t>Erwägungen</w:t>
      </w:r>
    </w:p>
    <w:p>
      <w:r>
        <w:rPr>
          <w:b/>
        </w:rPr>
        <w:t>E. 1.1</w:t>
      </w:r>
    </w:p>
    <w:p>
      <w:r>
        <w:t>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w:t>
      </w:r>
    </w:p>
    <w:p>
      <w:r>
        <w:rPr>
          <w:b/>
        </w:rPr>
        <w:t>E. 1.2</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1 et al. 2 CPP).</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1.3</w:t>
      </w:r>
    </w:p>
    <w:p>
      <w:r>
        <w:t>La juridiction d'appel statue, après avoir entendu les parties, sur la recevabilité de l'appel lorsque la direction de la procédure ou l'une d'entre elles fait valoir (art. 403 al. 1 CPP) : que l'annonce ou la déclaration d'appel est tardive ou</w:t>
      </w:r>
    </w:p>
    <w:p>
      <w:r>
        <w:t>- 3/5 - P/2143/2023 irrecevable (let. a) ; que l'appel est irrecevable au sens de l'art. 398 CPP (let. b) ; que les conditions à l'ouverture de l'action pénale ne sont pas réunies ou qu'il existe un empêchement de procéder (let. c).</w:t>
      </w:r>
    </w:p>
    <w:p>
      <w:r>
        <w:rPr>
          <w:b/>
        </w:rPr>
        <w:t>E. 1.4</w:t>
      </w:r>
    </w:p>
    <w:p>
      <w:r>
        <w:t>En l'espèce, la teneur de l'art. 399 al. 3 et al. 4 CPP a dûment été rappelée à l'appelante tant dans le dispositif notifié à l'issue de l'audience de première instance que dans le jugement motivé notifié le 8 décembre 2023. S'il n'est pas exclu que la première juge l'ait informée qu'une annonce d'appel écrite n'était pas nécessaire compte tenu du fait qu'elle avait annoncé, en audience, un appel pour mention au procès-verbal, la reproduction de l'art. 399 al. 3 et 4 CPP à la suite du dispositif dans le jugement motivé ne pouvait laisser subsister aucun doute dans son esprit quant à la nécessité d'adresser une déclaration d'appel à la CPAR. Force est de constater qu'aucune déclaration d'appel n'est toutefois parvenue à cette dernière dans le délai légal. Par voie de conséquence, son appel doit être considéré comme irrecevable.</w:t>
      </w:r>
    </w:p>
    <w:p>
      <w:r>
        <w:rPr>
          <w:b/>
        </w:rPr>
        <w:t>E. 2</w:t>
      </w:r>
    </w:p>
    <w:p>
      <w:r>
        <w:t>La partie dont l'appel est irrecevable est considérée comme ayant succombé ; elle supportera les frais de la procédure envers l'État, y compris un émolument d'arrêt de CHF 300.- (art. 428 CPP). * * * * *</w:t>
      </w:r>
    </w:p>
    <w:p>
      <w:r>
        <w:t>- 4/5 - P/2143/2023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