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AARP/70/2017 vom 22. Februar 2017</w:t>
      </w:r>
    </w:p>
    <w:p>
      <w:r>
        <w:t>GE Cour de justice, 2017-02-22, FR</w:t>
      </w:r>
    </w:p>
    <w:p>
      <w:r>
        <w:rPr>
          <w:b/>
        </w:rPr>
        <w:t xml:space="preserve">Quelle: </w:t>
      </w:r>
      <w:r>
        <w:t>https://mcp.opencaselaw.ch/entscheid/ge_gerichte_AARP_70_2017</w:t>
      </w:r>
    </w:p>
    <w:p>
      <w:r>
        <w:t>FR: GE_GERICHTE AARP/70/2017 du 22 février 2017</w:t>
      </w:r>
    </w:p>
    <w:p>
      <w:r>
        <w:t>IT: GE_GERICHTE AARP/70/2017 del 22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La diffamation suppose une allégation de fait, et non un simple jugement de valeur, qui peut alors constituer une injure au sens de l'art. 177 CP (ATF 117 IV 27</w:t>
      </w:r>
    </w:p>
    <w:p>
      <w:r>
        <w:t>- 9/19 - P/11876/2014 consid. 2c p. 29 ; arrêt du Tribunal fédéral 6S.147/2002 du 21 août 2002 consid. 3.1, non publié à l’ATF 128 IV 260).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Le fait d'accuser une personne d'avoir commis un crime ou un délit intentionnel entre dans les prévisions de l'art. 173 ch. 1 CP (ATF 132 IV 112 consid. 2.2 p. 115 ; 118 IV 248 consid. 2b p. 250s ; arrêt du Tribunal fédéral 6B_138/2008 du 22 janvier 2009 consid. 3.1). Pour qu'il y ait diffamation, il faut encore que l'auteur s'adresse à un tiers. Est en principe considéré comme tiers toute personne autre que l'auteur et l'objet des propos qui portent atteinte à l'honneur (ATF 86 IV 209). 2.2.1. En vertu de l'art. 173 ch. 2 CP, l'auteur n'encourt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Toutefois, conformément à l'art. 173 ch. 3 CP, l'auteur n'est pas admis à faire les preuves prévues par l’art. 173 ch. 2 CP, et il est punissable, si ses allégations ont été articulées ou propagées sans égard à l'intérêt public ou sans autre motif suffisant, principalement dans le dessein de dire du mal d'autrui, notamment lorsqu'elles ont trait à la vie privée ou familiale du lésé. 2.2.2. Les conditions énoncées à l'art. 173 ch. 3 CP doivent être interprétées de manière restrictive. En principe, le prévenu doit être admis à faire les preuves libératoires et ce n'est qu'exceptionnellement que cette possibilité doit lui être refusée (ATF132 IV 112 consid. 3.1 p. 116). Pour que cette preuve puisse être apportée, il doit y avoir, parmi les circonstances dans lesquelles l'allégation a été faite, des motifs suffisants pour la justifier, qu'il s'agisse d'un intérêt public ou privé (ATF 132 IV 112 consid. 3.1 ; 82 IV 10 consid. 3). En présence de motif objectivement suffisant, il ne faut admettre que de manière restrictive que l'allégation est intervenue dans le dessein de nuire, car l'exclusion de la preuve libératoire constitue une limitation très importante des droits de la défense (TI : CCRP 19.06.1987, Rep. 1989 p. 248).</w:t>
      </w:r>
    </w:p>
    <w:p>
      <w:r>
        <w:t>- 10/19 - P/11876/2014 2.2.3.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2.3</w:t>
      </w:r>
    </w:p>
    <w:p>
      <w:r>
        <w:t>Si l'auteur reconnaît la fausseté de ses allégations et les rétracte, le juge pourra atténuer la peine ou exempter le délinquant de toute peine (art. 173 ch. 4 CP).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 2.4.1. Se rend coupable d'injure celui qui aura, par la parole, l'écriture, l'image, le geste ou par des voies de fait, attaqué autrui dans son honneur (art. 177 al. 1 CP). Alors que la diffamation (art. 173 CP) suppose une allégation de fait, l'injure consiste en des jugements de valeur, adressé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6B_557/2013 du 12 septembre 2013 consid. 1.1 ; 6B_333/2008 du 9 mars 2009 consid. 1.3 ; ATF 71 IV 187 consid. 2 p. 188). 2.4.2. Du point de vue subjectif, il suffit que l'auteur ait eu conscience du caractère attentatoire à l'honneur de ses propos et qu'il les ait proférés néanmoins ; il n'est pas nécessaire qu'il ait eu la volonté de blesser la personne visée (ATF 119 IV 44 consid. 2a).</w:t>
      </w:r>
    </w:p>
    <w:p>
      <w:r>
        <w:t>- 11/19 - P/11876/2014 Si l'auteur a allégué un fait en s'adressant à la personne visée exclusivement, les preuves libératoires sont ouvertes aux mêmes conditions que pour la diffamation (CORBOZ, Les infractions en droit suisse, vol. I, n. 26 ad. art. 177 CP). L'injure est subsidiaire par rapport à la diffamation. Si l'auteur s'adresse à la fois à la personne visée et à un tiers, ces dispositions peuvent concourir (B. CORBOZ, op. cit, n. 123 ad art. 173 CP). 2.5.1. Il n'est en l'espèce pas contesté que les termes proférés par l'intimé à l'encontre des appelants sont attentatoires à l'honneur. En s'adressant à A______ pour traiter le père de celui-ci d'"escroc", l'intimé a réalisé les éléments constitutifs objectifs de la diffamation. De même, en s'adressant directement à A______ et en le traitant d'"escroc", de "faussaire" et d'"imitateur de signature", il a réalisé l'infraction d'injure. 2.5.2. Pour légitimer l'emploi des termes "faussaire" et "imitateur de signature", l'intimé s'appuie sur le prétendu faux "reçu en consignation" produit par C______ dans sa plainte en 2012. L'enquête a cependant conduit le Ministère public à rendre une ordonnance de non-entrée en matière le 24 juin 2013, sans ouvrir pour autant d'office une instruction pour faux dans les titres. Cet élément aurait déjà dû interpeller l'intimé quant à la réalité de cette infraction. Il a de surcroit attendu près d'un an après le classement pour porter plainte contre les appelants, ce qui tend à démontrer qu'il n'était pas certain de la réalisation de l'infraction. Quant au terme "escroc", l'intimé ne saurait être considéré de bonne foi lorsqu'il l'a employé, ayant lui-même accusé A______ de diffamation pour l'usage de ce qualificatif à son égard. En utilisant des termes identiques contre les plaignants, seulement quelques jours après avoir été traité de la sorte par l'un d'eux, il semble bien plutôt que l'intimé ait voulu riposter à cette attaque dans les mêmes termes. Enfin, l'intimé justifie ses dires par les nombreuses poursuites infondées que les appelants lui ont fait notifier depuis plusieurs années, alors qu'aucun jugement civil ne leur donne raison. S'il paraît douteux que les parties plaignantes n'aient été mues par aucun esprit de chicane dans le dépôt des multiples procédures en conciliation et poursuites pour ne jamais agir au fond, ces actions ne relèvent pour autant pas de l'escroquerie ou d'un autre comportement pénal. Dans ce contexte, les termes employés par l'intimé traduisent un sentiment de colère et d'exaspération, ce qui ne légitime pas le recours à des termes diffamatoires ou injurieux. La CPAR soulignera finalement qu'aucune rétractation n'a été formulée par l'intimé. Compte tenu de ce qui précède, le premier juge a retenu, à tort, que l'intimé avait apporté la preuve de sa bonne foi. Le jugement entrepris sera ainsi réformé.</w:t>
      </w:r>
    </w:p>
    <w:p>
      <w:r>
        <w:t>- 12/19 - P/11876/2014</w:t>
      </w:r>
    </w:p>
    <w:p>
      <w:r>
        <w:rPr>
          <w:b/>
        </w:rPr>
        <w:t>E. 4.1</w:t>
      </w:r>
    </w:p>
    <w:p>
      <w:r>
        <w:t>Celui qui se rend coupable de diffamation sera puni, sur plainte, d'une peine pécuniaire de 180 jours-amende au plus. L'infraction d'injure est quant à elle punie d'une peine pécuniaire de 90 jours-amende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4.2.2.1.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4.2.2.2. Le tribunal doit ensuite arrêter le montant du jour-amende qui est de CHF 3'000.- au plus.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2ème phrase CP).</w:t>
      </w:r>
    </w:p>
    <w:p>
      <w:r>
        <w:t>- 13/19 - P/11876/2014 Fondamentalement, l'accusé a le droit de ne pas collaborer à l'instruction et de refuser de fournir au juge les informations relatives à sa situation patrimoniale. Le juge dispose cependant d'un large pouvoir d'appréciation, lui permettant de procéder à une estimation du montant du jour-amende en fonction des informations dont il dispose (Y. JEANNERET, in Commentaire romand, Code pénal I, 2009, n° 44 ad art. 34 CP et les références citées). L'accusé ne peut dans ce cas se prévaloir du principe in dubio pro reo (cf. arrêt 6P.155/2006 du 28 décembre 2006 consid. 10.3). Le train de vie peut également être pris en compte lorsque le revenu doit être estimé car son établissement exact s'avère impossible ou car l'auteur ne fournit pas d'indication suffisante à ces fins (ATF 134 IV 60 consid. 6.3 p. 70 ; arrêts 6B_152/2007 du 13 mai 2008 consid. 8.4.1 et 6B_568/2012 du 16 novembre 2012). 4.2.3.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w:t>
      </w:r>
    </w:p>
    <w:p>
      <w:r>
        <w:rPr>
          <w:b/>
        </w:rPr>
        <w:t>E. 4.3</w:t>
      </w:r>
    </w:p>
    <w:p>
      <w:r>
        <w:t>En l'espèce, la faute de l'intimé n'est pas anodine. Il a, à plusieurs reprises, attaqué l'honneur des parties plaignantes en exprimant son mépris à leur égard par les termes employés dans ses messages.</w:t>
      </w:r>
    </w:p>
    <w:p>
      <w:r>
        <w:t>- 14/19 - P/11876/2014 Il a agi par agacement et vengeance. Le contexte assurément litigieux depuis de nombreuses années entre les différents protagonistes ne saurait excuser son comportement, ce d'autant qu'il reprochait l'utilisation des mêmes termes à son égard par l'un des appelants. Il n'a présenté aucune excuse ou exprimé de véritables regrets. Seule une proposition de rétractation a été formulée par l'intimée devant le Ministère public, subordonnée à la condition que les plaignants en fassent autant. Il y a concours d'infractions, ce qui constitue un facteur d'aggravation de la peine. L'absence d'antécédents judiciaires a un effet neutre sur la peine (ATF 136 IV 1 consid. 2.6.). Au vu de ces différents éléments, la peine pécuniaire sera arrêtée à 20 jours-amende. Il ressort en effet du dossier que l'intimé jouit d'une situation financière favorable. Il est propriétaire immobilier et s'acquitte d'intérêts hypothécaires élevés, ce qui est un indice de ce que ses revenus le sont également, nonobstant ses déclarations relatives à un "revenu fiscal négatif" par ailleurs non étayées. Au demeurant, l'intéressé n'a pas critiqué la quotité du jour-amende de CHF 1'000.- retenue par le Ministère public dans l'ordonnance pénale du 19 décembre 2014 et a refusé de renseigner la CPAR sur ses revenus et fortune, ce qui permet de présumer qu'il considère que son minimum vital n'était pas atteint. Les conditions objectives à l'octroi du sursis sont réalisées, le pronostic n'apparaissant pas défavorable. Le délai d'épreuve sera arrêté à deux ans, durée qui apparaît justifiée et suffisante pour dissuader l'intimé de commettre de nouvelles infractions.</w:t>
      </w:r>
    </w:p>
    <w:p>
      <w:r>
        <w:rPr>
          <w:b/>
        </w:rPr>
        <w:t>E. 5.1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w:t>
      </w:r>
    </w:p>
    <w:p>
      <w:r>
        <w:t>- 15/19 - P/11876/2014 large pouvoir d’appréciation au juge, couvre les dépenses et les frais nécessaires et adéquats pour faire valoir le point de vue de la partie plaignante, à l’exclusion de toutes démarches inutiles ou superflues (arrêts du Tribunal fédéral 6B_495/2014 du</w:t>
      </w:r>
    </w:p>
    <w:p>
      <w:r>
        <w:rPr>
          <w:b/>
        </w:rPr>
        <w:t>E. 5.2</w:t>
      </w:r>
    </w:p>
    <w:p>
      <w:r>
        <w:t>En l'espèce, les parties plaignantes ayant obtenu gain de cause en appel, le principe de l'indemnisation de leurs frais d'avocat pour ladite procédure leur est acquis, aucune indemnisation n'ayant été sollicitée en première instance. L'état de frais produit par le conseil des appelants ne paraît pas en adéquation avec la nature, l'importance et la difficulté de la cause, le dossier étant connu par celui-ci dès l'origine et pour les différentes procédures qui opposent les parties. Il ne se justifie dès lors pas de retenir l'intégralité des heures articulées pour la rédaction d'une seule écriture de 15 pages, dont 11 de faits rapportant principalement les propos tenus par les différents protagonistes lors de leurs interrogatoires. Le nombre d'heures utiles sera ainsi diminué de moitié. Au vu de ce qui précède, l'intimé sera condamné à payer aux appelants, au titre de leurs frais de défense en appel, la somme de CHF 1'944.-, correspondant à quatre heures d'activité au tarif de chef d'étude, TVA incluse.</w:t>
      </w:r>
    </w:p>
    <w:p>
      <w:r>
        <w:rPr>
          <w:b/>
        </w:rPr>
        <w:t>E. 6</w:t>
      </w:r>
    </w:p>
    <w:p>
      <w:r>
        <w:t>Vu l'issue de la procédure d'appel, l'intimé sera débouté de ses conclusions en indemnisation (art. 429 CPP).</w:t>
      </w:r>
    </w:p>
    <w:p>
      <w:r>
        <w:t>- 16/19 - P/11876/2014</w:t>
      </w:r>
    </w:p>
    <w:p>
      <w:r>
        <w:rPr>
          <w:b/>
        </w:rPr>
        <w:t>E. 7</w:t>
      </w:r>
    </w:p>
    <w:p>
      <w:r>
        <w:t>L'intimé, qui succombe, sera condamné aux frais de la procédure de première instance et d'appel, ces derniers comprenant un émolument de CHF 1'500.-.</w:t>
      </w:r>
    </w:p>
    <w:p>
      <w:r>
        <w:t>* * * * *</w:t>
      </w:r>
    </w:p>
    <w:p>
      <w:r>
        <w:t>- 17/19 - P/11876/2014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