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AARP/6/2025 vom 8. Januar 2025</w:t>
      </w:r>
    </w:p>
    <w:p>
      <w:r>
        <w:t>GE Cour de justice, 2025-01-08, FR</w:t>
      </w:r>
    </w:p>
    <w:p>
      <w:r>
        <w:rPr>
          <w:b/>
        </w:rPr>
        <w:t xml:space="preserve">Quelle: </w:t>
      </w:r>
      <w:r>
        <w:t>https://mcp.opencaselaw.ch/entscheid/ge_gerichte_AARP_6_2025</w:t>
      </w:r>
    </w:p>
    <w:p>
      <w:r>
        <w:t>FR: GE_GERICHTE AARP/6/2025 du 8 janvier 2025</w:t>
      </w:r>
    </w:p>
    <w:p>
      <w:r>
        <w:t>IT: GE_GERICHTE AARP/6/2025 del 8 gennaio 2025</w:t>
      </w:r>
    </w:p>
    <w:p>
      <w:pPr>
        <w:pStyle w:val="Heading2"/>
      </w:pPr>
      <w:r>
        <w:t>Erwägungen</w:t>
      </w:r>
    </w:p>
    <w:p>
      <w:r>
        <w:rPr>
          <w:b/>
        </w:rPr>
        <w:t>E. 23</w:t>
      </w:r>
    </w:p>
    <w:p>
      <w:r>
        <w:t>décembre 2021 consid. 8.1]), toute différence de traitement n'emporte pas automatiquement violation de cet article. Il faut démontrer que des personnes placées dans des situations analogues ou comparables jouissent d'un traitement préférentiel, et que cette distinction est discriminatoire. Tel est le cas si la différence de traitement manque de justification objective et raisonnable, soit si elle ne poursuit pas un but légitime, ou s'il est clairement établi qu'il n'existe pas de rapport raisonnable de proportionnalité entre les moyens employés et le but visé (arrêt du Tribunal fédéral 2C_121/2022 du 24 novembre 2022 consid. 5.2). 2.7.2. Le Tribunal fédéral a nié l'existence d'une discrimination dans l'interdiction de la mendicité, considérant notamment que la seule importance du nombre de condamnations concernant des personnes appartenant à la communauté rom ne signifiait pas pour autant l'existence d'une impunité d'autres mendiants (ATF 149 I 248 consid. 7.4 ; arrêt du Tribunal fédéral 6B_88/2012 du 17 août 2012 consid. 3.4). 2.7.3. La CSTCJ a, pour sa part, rejeté le grief d'un traitement discriminatoire sur la base de la pauvreté au motif que le fait d'être pauvre ne donnait pas d'emblée droit à la protection de l'art. 8 al. 2 Cst. Même dans une telle hypothèse, la loi pouvait au demeurant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(ACST/12/2022 du 28 juillet 2022 consid. 11c). 2.7.4. En l'espèce, l'appelante ne présente pas d'arguments nouveaux par rapport à ceux examinés par le Tribunal fédéral et la CSTCJ, de sorte que la conclusion adoptée par ces instances ne peut qu'être reprise par la Cour de céans. Il est en effet douteux que le dénuement de l'appelante soit apte à constituer un critère de discrimination. Cet élément n'est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Le dénuement doit plutôt être considéré comme une circonstance temporaire dont les inconvénients disparaissent avec l'accès à une activité lucrative autonome. Le grief lié à l'interdiction d'un traitement discriminatoire sera dès lors rejeté.</w:t>
      </w:r>
    </w:p>
    <w:p>
      <w:r>
        <w:t>- 13/19 - P/8795/2023 2.8. Il résulte de ce qui précède que c'est à bon droit que l'appelante a été reconnue coupable de mendicité au sens de l'art. 11A al. 1 let. c LPG. Sa condamnation de ce chef doit donc être confirmée, en tant qu'elle ne constitue pas, in casu, une ingérence injustifiée dans ses droits fondamentaux. 2.9.1. La législation genevoise prévoit exclusivement l'amende comme sanction de l'interdiction de la mendicité passive en certains lieux (cf. art. 11A al. 1 LPG), à l'exclusion de tout mécanisme graduel de sanction préalable. 2.9.2. Dans son arrêt Lacatus c. Suisse, la CourEDH n'a pas exclu en soi une sanction pénale à la mendicité, dans le sens que la gravité de ladite sanction doit être examinée dans le cadre d'une pesée des intérêts et à l'aune de solides motifs d'intérêt public.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 2.9.3. Le Tribunal fédéral a confirmé depuis lors qu'il n'était pas admissible, au regard de la Cst. et de la CEDH, de sanctionner d'emblée la mendicité passive pratiquée dans certains lieux par une amende qui, au vu du dénuement des personnes concernées, était presqu'automatiquement convertie en jours de détention. Une amende, même modique et n'excédant pas CHF 50.-, ne pouvait ainsi être envisagée qu'en dernier recours, après que d'autres mesures mieux adaptées aient échoué (ATF 149 I 248 consid.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 La CPAR a toutefois exclu que cette jurisprudence s'applique lorsqu'une personne déclarée coupable de mendicité avait déjà été interpellée pour de tels actes (dans le cas qui lui était soumis, plus de 30 interpellations pour des faits de mendicité sous l'ancien droit ; ACPR/46/2024 du 30 janvier 2024 consid. 2.4.4.5). 2.9.4. Dans le cas présent, l'appelante n'indique pas si elle avait connaissance ou non du changement de loi. Quelle qu'ait été la connaissance/ignorance dans laquelle se</w:t>
      </w:r>
    </w:p>
    <w:p>
      <w:r>
        <w:t>- 14/19 - P/8795/2023 trouvait l'appelante (relative au changement de loi et son contenu ou à la condamnation de la Suisse par la CourEDH dans son arrêt du 19 avril 2021 susmentionné), elle ne pouvait ignorer, ayant été préalablement reconnue coupable de mendicité, qu'il était hautement probable que la question soit toujours réglementée. Partant, quand bien même elle est étrangère et illettrée, elle ne pouvait faire fi de se renseigner sur ce point. De même, précédemment condamnée à une amende pour de tels faits, elle devait partir du principe qu'elle encourrait une telle peine, sinon sa conversion en jours de détention, de sorte que l'on peut affirmer que des mesures administratives moins incisives en amont seraient restées vaines. 3. 3.1. Est puni quiconque, intentionnellement ou par négligence, fait usage d'un véhicule sans détenir de titre de transport valable ou sans y être autrement autorisé (art. 57 al. 3 LTV).</w:t>
      </w:r>
    </w:p>
    <w:p>
      <w:r>
        <w:t>3.2. Outre l'erreur de plume constatée supra, l'appelante ne conteste pas les faits tels que décrits dans l'ordonnance pénale du 7 février 2023.</w:t>
      </w:r>
    </w:p>
    <w:p>
      <w:r>
        <w:t>Partant, le verdict de culpabilité du chef de l'art. 57 al. 3 LTV sera confirmé. 4. 4.1. Les infractions de mendicité (art. 11A al. 1 let. c LPG) et celle à l'art. 57 al. 3 LTV sont passibles de l'amende.</w:t>
      </w:r>
    </w:p>
    <w:p>
      <w:r>
        <w:t>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w:t>
      </w:r>
    </w:p>
    <w:p>
      <w:r>
        <w:t>- 15/19 - P/8795/2023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 4.4.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4.5.1. Dans le cas présent, la faute de l'appelante doit être qualifiée de faible à moyenne. Elle a mendié à quatre reprises en à peine deux mois et dans un périmètre restreint. Comme énoncé ci-dessus, même lors de la première occurrence, elle ne pouvait ignorer qu'elle agissait de manière contraire au droit pénal cantonal, ce qui lui a été rappelé expressément le 1er octobre 2022. Elle a ainsi fait fi de l'ordre juridique genevois, ainsi que de ses autorités qu'elle a mobilisées par quatre fois en quelques mois. De même, elle a voyagé dans un transport public sans s'acquitter du prix du billet, malgré les multiples contrôles et verbalisations administratives dont elle avait déjà fait l'objet (à sept reprises en deux ans selon les TPG). Cela dénote un manque de considération certain pour les règles en vigueur. Sa situation personnelle, indéniablement précaire, explique ses agissements mais ne les justifie pas totalement, dans la mesure où, s'agissant des infractions commises pour améliorer sa condition financière, il existait d'autres lieux où elle pouvait s'adonner à la mendicité de manière licite. Sa collaboration n'appelle pas de remarque particulière, puisqu'elle ne s'est pas directement exprimée durant la procédure.</w:t>
      </w:r>
    </w:p>
    <w:p>
      <w:r>
        <w:t>- 16/19 - P/8795/2023 Il y a concours d'infractions, facteur d'aggravation de la peine (art. 49 CP cum art. 104 CP). Les différentes occurrences sont de gravité sensiblement équivalente. Le montant de CHF 330.- arrêté par le premier juge dans le jugement du 13 mai 2024 apparaît un peu trop élevé au vu de la situation personnelle de l'appelante et de la jurisprudence de la CPAR en la matière (cf. AARP/417/2024 du 25 novembre 2024 ; AARP/449/2024 du 13 décembre 2024). Ainsi, la peine de base sera fixée à CHF 60.- pour les faits du 1er octobre 2022. Seront ajoutés CHF 160.-, soit CHF 40.- pour chacun des trois autres actes de mendicité et l'infraction à l'art. 57 al. 3 LTV (peine hypothétique : CHF 60.- pour chacun d'eux). Une amende globale de CHF 220.- sera prononcée, assortie d'une peine privative de liberté de substitution de deux jours. Le jugement entrepris sera réformé en ce sens. 4.5.2. L'appelante conclut, subsidiairement, en cas de condamnation, à une exemption de peine, relevant en particulier, pour l'infraction de mendicité, que dans un jugement du 22 août 2023, le TP avait fait application de l'art. 52 CP (JTDP/1074/2023). En l'espèce, les infractions de mendicité sont certes de peu d'importance au regard d'autres infractions, ce dont il est tenu compte dans le type de sanction prévu par les art. 11A al. 1 LPG. L'appelante n'explique toutefois pas en quoi sa culpabilité serait peu importante par rapport à d'autres cas relevant de la même disposition. Elle ne peut à cet égard rien tirer du jugement du TP qu'elle cite, celui-ci n'étant pas motivé et ne permettant dès lors pas de conclure, le cas échéant, à une situation similaire. La culpabilité de l'appelante n'est au demeurant pas anodine, dès lors qu'elle a agi à plusieurs reprises aux mêmes endroits, alors qu'elle ne pouvait ignorer que son comportement était illicite. Les conditions de l'art. 52 CP ne sont pas réalisées, de sorte qu'une exemption de peine sur cette base n'entre pas en considération. 5. L'appelante, qui obtient très partiellement gain de cause (diminution de la peine), supportera les deux-tiers des frais de la procédure d'appel, y compris un émolument d'arrêt réduit de CHF 200.-, pour tenir compte de sa situation personnelle (art. 425 et 428 CPP). Le solde de ces frais sera laissé à la charge de l'État.</w:t>
      </w:r>
    </w:p>
    <w:p>
      <w:r>
        <w:t>Les frais de la procédure préliminaire et de première instance ne seront pas revus, vu la confirmation des verdicts de culpabilité. 6. L'appelante n'a pas pris de conclusions en indemnisation, quand bien même elle est représentée par une avocate et avait été enjointe de chiffrer et justifier de telles conclusions. Elle est donc réputée y avoir renoncé (art. 429 al. 2 CPP).</w:t>
      </w:r>
    </w:p>
    <w:p>
      <w:r>
        <w:t>- 17/19 - P/8795/2023 * * * * *</w:t>
      </w:r>
    </w:p>
    <w:p>
      <w:r>
        <w:t>- 18/19 - P/8795/2023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