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AARP/6/2017 vom 11. Januar 2017</w:t>
      </w:r>
    </w:p>
    <w:p>
      <w:r>
        <w:t>GE Cour de justice, 2017-01-11, FR</w:t>
      </w:r>
    </w:p>
    <w:p>
      <w:r>
        <w:rPr>
          <w:b/>
        </w:rPr>
        <w:t xml:space="preserve">Quelle: </w:t>
      </w:r>
      <w:r>
        <w:t>https://mcp.opencaselaw.ch/entscheid/ge_gerichte_AARP_6_2017</w:t>
      </w:r>
    </w:p>
    <w:p>
      <w:r>
        <w:t>FR: GE_GERICHTE AARP/6/2017 du 11 janvier 2017</w:t>
      </w:r>
    </w:p>
    <w:p>
      <w:r>
        <w:t>IT: GE_GERICHTE AARP/6/2017 del 11 gennaio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et les décisions judiciaires ultérieures (let. g).</w:t>
      </w:r>
    </w:p>
    <w:p>
      <w:r>
        <w:t>La CPAR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par. 2 de la Convention de sauvegarde des droits de l’homme et des libertés fondamentales du 4 novembre 1950 (CEDH ; RS 0.101) et, sur le plan interne, par les art. 32 al. 1 de la Constitution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ATF 120 Ia 31 consid. 2).</w:t>
      </w:r>
    </w:p>
    <w:p>
      <w:r>
        <w:t>Lorsqu'il est confronté à des versions contradictoires, le juge forge sa conviction quant aux faits sur la base d'un ensemble d'éléments ou d'indices convergents. En</w:t>
      </w:r>
    </w:p>
    <w:p>
      <w:r>
        <w:t>- 12/19 - P/13302/2014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w:t>
      </w:r>
    </w:p>
    <w:p>
      <w:r>
        <w:t>Il est admissible d'examiner le comportement des protagonistes avant et après l'acte sexuel, dès lors qu'il peut être révélateur de ce qu'ils ont effectivement vécu (arrêt du Tribunal fédéral 6B_735/2007 du 24 janvier 2008 consid. 2.2).</w:t>
      </w:r>
    </w:p>
    <w:p>
      <w:r>
        <w:t>Il convient, par ailleurs, de rappeler que les déclarations de la victime, entendue comme témoin, constituent un élément de preuve. Le juge doit, dans l'évaluation globale de l'ensemble des éléments probatoires rassemblés au dossier, les apprécier librement (arrêt du Tribunal fédéral 6B_614/2012 du 15 février 2013 consid 3.2.5).</w:t>
      </w:r>
    </w:p>
    <w:p>
      <w:r>
        <w:rPr>
          <w:b/>
        </w:rPr>
        <w:t>E. 2.2</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arrêt du Tribunal fédéral 6B_10/2014 du 1er mai 2014 consid. 4.1.1).</w:t>
      </w:r>
    </w:p>
    <w:p>
      <w:r>
        <w:t>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ss ; arrêt du Tribunal fédéral 6B_10/2014 du 1er mai 2014 consid. 4.1.1).</w:t>
      </w:r>
    </w:p>
    <w:p>
      <w:r>
        <w:t>Dans tous les cas, l'incapacité doit être totale au moment de l'acte. Il suffit par conséquent qu'au moment du rapport sexuel, la victime se trouve dans un état qui l'empêche concrètement de s'opposer aux actes de l'auteur (J. HURTADO POZO, Droit pénal - partie spéciale, 2009, ad art. 191, p. 892 et les références citées).</w:t>
      </w:r>
    </w:p>
    <w:p>
      <w:r>
        <w:t>S'agissant des effets de l'alcool sur la capacité de discernement, il est utile de rappeler que dans un domaine proche, soit celui de la responsabilité pénale, la jurisprudence retient qu'une personne présentant un taux d’alcoolémie dans le sang de 3‰ et plus doit être considérée comme totalement irresponsable. Entre 2 et 3‰ sa</w:t>
      </w:r>
    </w:p>
    <w:p>
      <w:r>
        <w:t>- 13/19 - P/13302/2014 responsabilité sera en règle générale diminuée, alors qu'en dessous de 2‰, on admettra en principe une responsabilité pleine et entière. Il ne s'agit cependant que d'une présomption, qui peut être renversée en raison d'indices contraires (ATF 122 IV 49 consid. 1b ; 119 IV 120 consid. 2b ; 117 IV 292 consid. 2d ; arrêt du Tribunal fédéral 6B_960/2009 du 30 mars 2010 consid. 1.2).</w:t>
      </w:r>
    </w:p>
    <w:p>
      <w:r>
        <w:t>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du 1er mai 2014 consid. 3.2.1).</w:t>
      </w:r>
    </w:p>
    <w:p>
      <w:r>
        <w:t>Sur le plan subjectif, l'art. 191 CP est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6B_1175/2015 du 19 avril 2016 consid. 3.2 ; 6B_60/2015 du 25 janvier 2016 consid. 1.2.1 et les références citées).</w:t>
      </w:r>
    </w:p>
    <w:p>
      <w:r>
        <w:rPr>
          <w:b/>
        </w:rPr>
        <w:t>E. 2.3</w:t>
      </w:r>
    </w:p>
    <w:p>
      <w:r>
        <w:t>Tant la partie plaignante que l'intimé n'ont pas brillé par la constance et la cohérence de leurs déclarations.</w:t>
      </w:r>
    </w:p>
    <w:p>
      <w:r>
        <w:t>La partie plaignante et le témoin G______ ont affirmé, chacune à son tour, avoir été réticentes à accepter la proposition d'aller chez un inconnu. L'appelante principale a nié puis admis une consommation de boisson alcoolisée et de drogue qu'elle a décrite comme étant volontaire, avant d'affirmer le contraire. Son statut de consommatrice régulière de produits stupéfiants a été nié avant qu'elle ne l'affiche clairement devant les médecins. Au bénéfice d'un "flash", elle a dénoncé un acte sexuel complet qu'elle avait subi dans la cuisine après qu'elle eut déclaré n'avoir aucun souvenir de ce qui s'y était passé ou que rien de spécial n'avait eu lieu. L'appelante principale a encore soutenu que son amie G______ l'avait instruite de la commission d'un viol, ce que cette dernière a toujours nié, en ne comprenant d'ailleurs pas comment la partie plaignante pouvait en faire état. L'intimé n'a pas été en reste, lui qui a commencé par nier tout contact avec des jeunes filles dans son appartement. Il n'a de facto distillé ses aveux qu'au compte-gouttes, adaptant systématiquement son discours aux faits révélés par l'instruction et les analyses scientifiques. L'intimé aurait assurément été plus crédible s'il n'avait pas cherché à masquer l'épisode du flirt dans la cuisine, corroboré par les observations du témoin G______, ou fourni une explication moins rocambolesque sur le baiser</w:t>
      </w:r>
    </w:p>
    <w:p>
      <w:r>
        <w:t>- 14/19 - P/13302/2014 échangé sur le canapé, voire sur le mode de contamination possible de la jeune fille. L'explication fournie qui justifierait sa discrétion sur un problème tenu pour honteux n'est guère probante, surtout quand les faits à révéler sont susceptibles d'apporter la preuve de son innocence. Les considérations qui précèdent ne sont cependant pas de nature à modifier l'appréciation juridique qu'il convient de porter sur les faits. L'application de l'art. 191 CP suppose l'exploitation de l'incapacité totale de discernement ou de résistance de la victime, connue de l'auteur. Or, l'appelante principale était certes fortement alcoolisée, mais les différents témoignages la décrivent comme étant en mesure de parler, d'interagir et de marcher, du moins jusqu'à son départ de l'appartement. A aucun moment, elle n'avait été inconsciente, contrairement à l'observation rapportée par le témoin G______ (elle était "comme morte") qui est dépourvue de cohérence dans l'environnement décrit. La réticence de la partie plaignante à quitter les lieux démontre qu'elle était capable de manifester son désaccord, ce dont a encore témoigné l'hôtelier pour le transport par ambulance. Un état d'ivresse, même avancé, n'implique pas encore une incapacité totale. Le taux d'alcoolémie supposé de l'appelante principale oscillait autour des 1.5 g/kg lors des faits, de sorte qu'en l'absence d'éléments plaidant en faveur d'une incapacité totale, la présomption de responsabilité doit s'appliquer, conformément à la jurisprudence susmentionnée. La même conclusion s'impose pour les effets des médicaments qui lui avaient été administrés près de 12 heures avant les faits. Leur influence sur son état ne saurait être tenue pour déterminante. Dans ces circonstances, rien ne permet de retenir qu'elle était totalement incapable de discernement ou de résistance.</w:t>
      </w:r>
    </w:p>
    <w:p>
      <w:r>
        <w:t>En tout état de cause, en retenant la version la plus favorable à l'intimé, le flirt avait déjà commencé lors du premier passage à la cuisine, si bien que l'intimé pouvait penser que l'appelante principale, alors seulement légèrement alcoolisée, était consentante. Le comportement de cette dernière, qui a accepté un huis-clos répété dans la cuisine, a pu le convaincre de sa volonté de pousser plus loin le flirt. Les déclarations constantes du témoin G______ démontrent que l'appelante n'a pas émis une seule fois le désir de quitter l'appartement ou affirmé que l'intimé l'importunait. Les paroles rapportées et les sourires émis permettent même plutôt de conclure à une expérience non traumatisante sur le vif, ce qui n'augure pas de ce que la partie appelante a pu éprouver ultérieurement, par remords ou sentiment de culpabilité. L'état de détresse de l'appelante principale après les faits peut aussi s'expliquer par ses difficultés personnelles, encore accentuées par les problèmes de santé vécus par sa mère. Au vu de ce qui précède, rien n'autorise la CPAR à conclure au fait que l'intimé aurait exploité l'éventuel état d'incapacité de discernement de l'appelante principale,</w:t>
      </w:r>
    </w:p>
    <w:p>
      <w:r>
        <w:t>- 15/19 - P/13302/2014 pour autant qu'il en ait eu connaissance. L'acquittement prononcé en première instance doit donc être confirmé, ce qui conduit à rejeter les appels principal et joint.</w:t>
      </w:r>
    </w:p>
    <w:p>
      <w:r>
        <w:rPr>
          <w:b/>
        </w:rPr>
        <w:t>E. 3</w:t>
      </w:r>
    </w:p>
    <w:p>
      <w:r>
        <w:t>Vu l'issue de la procédure, les prétentions en indemnisation de l'appelante principale seront rejetées.</w:t>
      </w:r>
    </w:p>
    <w:p>
      <w:r>
        <w:rPr>
          <w:b/>
        </w:rPr>
        <w:t>E. 4</w:t>
      </w:r>
    </w:p>
    <w:p>
      <w:r>
        <w:t>L'appelante principale, qui succombe au même titre que l'appelant joint, supportera à raison de la moitié les frais de la procédure envers l'Etat, qui comprennent un émolument de CHF 2'500.- (art. 428 CPP), le solde des frais étant laissé à la charge de l'Etat vu la qualité du Ministère public.</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pp. 201-202). La juridiction d'appel est partant compétente, au sens de l'art. 135 al. 2 CPP, pour statuer sur l'activité postérieure à sa saisine.</w:t>
      </w:r>
    </w:p>
    <w:p>
      <w:r>
        <w:rPr>
          <w:b/>
        </w:rPr>
        <w:t>E. 5.2</w:t>
      </w:r>
    </w:p>
    <w:p>
      <w:r>
        <w:t>Selon les art. 135 al. 1 et 138 al. 1 CPP, le défenseur d'office ou le conseil juridique gratuit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pour le chef d'étude.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5.2.2</w:t>
      </w:r>
    </w:p>
    <w:p>
      <w:r>
        <w:t>Les autorités cantonales jouissent d'une importante marge d'appréciation lorsqu'elles fixent, dans la procédure, la rémunération du défenseur d'office (ATF 141 I 124 consid. 3.2 et les références citées ; arrêt du Tribunal fédéral 6B_856/2014 du 10 juillet 2015 consid. 2.3 ; décision du Tribunal pénal fédéral BB.2015.85 du 12 avril 2016 consid. 3.2.3).</w:t>
      </w:r>
    </w:p>
    <w:p>
      <w:r>
        <w:rPr>
          <w:b/>
        </w:rPr>
        <w:t>E. 5.2.3</w:t>
      </w:r>
    </w:p>
    <w:p>
      <w:r>
        <w:t>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w:t>
      </w:r>
    </w:p>
    <w:p>
      <w:r>
        <w:t>- 16/19 - P/13302/2014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w:t>
      </w:r>
    </w:p>
    <w:p>
      <w:r>
        <w:t>Les communications et courriers divers sont en principe inclus dans le forfait (AARP/326/2015 du 16 juillet 2015 ; AARP/193/2015 du 27 avril 2015 ; AARP/55/2015 du 25 mars 2015 ; AARP/265/2014 du 6 juin 2014 ; AARP/501/2013 du 28 octobre 2013) de même que d'autres documents ne nécessitant pas ou peu de motivation ou autre investissement particulier en termes de travail juridique, telles l'annonce d'appel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(AARP/133/2015 du 3 mars 2015).</w:t>
      </w:r>
    </w:p>
    <w:p>
      <w:r>
        <w:rPr>
          <w:b/>
        </w:rPr>
        <w:t>E. 5.3</w:t>
      </w:r>
    </w:p>
    <w:p>
      <w:r>
        <w:t>Le décompte produit par le conseil juridique gratuit de l'appelante paraît adéquat, sous réserve de 165 minutes consacrées à la rédaction de "lettres", de "mémos", de la déclaration d'appel et à l'analyse du jugement motivé, postes couverts par le forfait. En revanche, 80 minutes doivent être ajoutées pour tenir compte de la durée réelle de l'audience. Il convient dès lors d'arrêter l'indemnité due pour la procédure d'appel à CHF 1'623.55, correspondant à 6h35 d'activité à CHF 200.-/heure [8h – 2h45 + 1h20] et à CHF 50.- de frais de déplacement, auxquels il convient d'ajouter le forfait de 10% vu l'activité déployée en première instance [CHF 136.65] et la TVA [CHF 120.25].</w:t>
      </w:r>
    </w:p>
    <w:p>
      <w:r>
        <w:rPr>
          <w:b/>
        </w:rPr>
        <w:t>E. 5.4</w:t>
      </w:r>
    </w:p>
    <w:p>
      <w:r>
        <w:t>L'indemnisation requise par Me D______ est conforme aux principes précités. Il y sera ajouté 3h20, correspondant à la durée de l'audience d'appel. En conclusion, l'indemnité sera arrêtée à CHF 2'328.30, correspondant à 10h20 d'activité [CHF 2'066.65], CHF 50.- de frais de déplacement, plus la majoration forfaitaire de 10% compte tenu de l'activité déployée en première instance [CHF 211.65], sans TVA à laquelle le défenseur d'office n'est pas assujetti. * * * *</w:t>
      </w:r>
    </w:p>
    <w:p>
      <w:r>
        <w:t>- 17/19 - P/13302/2014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