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AARP/69/2017 vom 27. Februar 2017</w:t>
      </w:r>
    </w:p>
    <w:p>
      <w:r>
        <w:t>GE Cour de justice, 2017-02-27, FR</w:t>
      </w:r>
    </w:p>
    <w:p>
      <w:r>
        <w:rPr>
          <w:b/>
        </w:rPr>
        <w:t xml:space="preserve">Quelle: </w:t>
      </w:r>
      <w:r>
        <w:t>https://mcp.opencaselaw.ch/entscheid/ge_gerichte_AARP_69_2017</w:t>
      </w:r>
    </w:p>
    <w:p>
      <w:r>
        <w:t>FR: GE_GERICHTE AARP/69/2017 du 27 février 2017</w:t>
      </w:r>
    </w:p>
    <w:p>
      <w:r>
        <w:t>IT: GE_GERICHTE AARP/69/2017 del 27 febbraio 2017</w:t>
      </w:r>
    </w:p>
    <w:p>
      <w:pPr>
        <w:pStyle w:val="Heading2"/>
      </w:pPr>
      <w:r>
        <w:t>Erwägungen</w:t>
      </w:r>
    </w:p>
    <w:p>
      <w:r>
        <w:rPr>
          <w:b/>
        </w:rPr>
        <w:t>E. 1</w:t>
      </w:r>
    </w:p>
    <w:p>
      <w:r>
        <w:t>La demande de révision prévue par la loi (art. 411 al. 1 CPP) a été transmise à l'autorité compétente pour en connaître.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w:t>
      </w:r>
    </w:p>
    <w:p>
      <w:r>
        <w:t>- 3/5 - P/1231/2017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3e éd., Zürich 2011, n. 2072). Les faits ou moyens de preuve visés par l'al. 1 de cette disposition doivent être susceptibles de corriger des erreurs de fait qui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CPP ; A. KUHN / Y. JEANNERET (éds.), Commentaire romand : Code de procédure pénale suisse,</w:t>
      </w:r>
    </w:p>
    <w:p>
      <w:r>
        <w:t>- 4/5 - P/1231/2017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2.2</w:t>
      </w:r>
    </w:p>
    <w:p>
      <w:r>
        <w:t>En l'occurrence, la requérante ne se prévaut d'aucun fait ou moyen de preuve nouveau qui commanderait que la Chambre de céans entre en matière sur la demande en révision. Sous prétexte d'une telle requête, elle conteste en réalité l'ordonnance pénale, comme elle aurait eu toute latitude de le faire dans le cadre d'une opposition. Encore aurait-il fallu toutefois qu'elle agisse dans le délai légal. Or, la procédure de révision n'est pas la voie adéquate pour obtenir une restitution de délai, à supposer que l'intéressée ait été empêchée d'agir à temps sans sa faute, ce qu'elle ne soutient au demeurant pas. En aucun cas, une mise en perspective des faits à l'origine du litige ne constitue un moyen permettant la révision d'une décision entrée en force. Partant, et en l'absence de tout motif de révision, la demande sera déclarée irrecevable sans autre acte d'instruction.</w:t>
      </w:r>
    </w:p>
    <w:p>
      <w:r>
        <w:rPr>
          <w:b/>
        </w:rPr>
        <w:t>E. 3</w:t>
      </w:r>
    </w:p>
    <w:p>
      <w:r>
        <w:t>La requête étant rejetée, son auteure devrait supporter les frais de la procédure. Toutefois, vu les circonstances particulières, soit que la demande de révision a été transmise d'office à la Chambre de céans par le Tribunal de police, lesdits frais seront exceptionnellement laissés à la charge de l'Etat. * * * * *</w:t>
      </w:r>
    </w:p>
    <w:p>
      <w:r>
        <w:t>- 5/5 - P/1231/2017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