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AARP/69/2014 vom 17. Februar 2014</w:t>
      </w:r>
    </w:p>
    <w:p>
      <w:r>
        <w:t>GE Cour de justice, 2014-02-17, FR</w:t>
      </w:r>
    </w:p>
    <w:p>
      <w:r>
        <w:rPr>
          <w:b/>
        </w:rPr>
        <w:t xml:space="preserve">Quelle: </w:t>
      </w:r>
      <w:r>
        <w:t>https://mcp.opencaselaw.ch/entscheid/ge_gerichte_AARP_69_2014</w:t>
      </w:r>
    </w:p>
    <w:p>
      <w:r>
        <w:t>FR: GE_GERICHTE AARP/69/2014 du 17 février 2014</w:t>
      </w:r>
    </w:p>
    <w:p>
      <w:r>
        <w:t>IT: GE_GERICHTE AARP/69/2014 del 17 febbraio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ne pourrait tout au plus s’appliquer qu’au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t>Les dispositions du CPP ne s’appliquant que par analogie à la procédure de libération conditionnelle, le défaut de l’appelant à l’audience ne conduit pas au retrait de l’appel.</w:t>
      </w:r>
    </w:p>
    <w:p>
      <w:r>
        <w:t>- 4/7 - PM/45/2014</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 2012 consid. 1.1). Doivent notamment être pris en considération les antécédents judiciaires, les caractéristiques de la personnalité de l’intéressé, son comportement par rapport à son acte et en détention, au travail ou en semi-liberté, les conditions futures dans lesquelles il est à prévoir qu’il vivra, en particulier sa famille, son travail, son logement (ATF 124 IV 193 consid. 3 et 4d p. 194 et 198 ; arrêt du Tribunal fédéral 6B_206/2011 du 5 juillet 2011, consid. 1.4).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w:t>
      </w:r>
    </w:p>
    <w:p>
      <w:r>
        <w:rPr>
          <w:b/>
        </w:rPr>
        <w:t>E. 2.2</w:t>
      </w:r>
    </w:p>
    <w:p>
      <w:r>
        <w:t>En l’espèce, la condition objective prévue par l’art. 86 al. 1 CP est réalisée depuis le 22 janvier 2014. Si le préavis de la direction de la prison est favorable, ceux du Ministère public et du SAPEM sont négatifs, au vu du pronostic défavorable résultant des nombreux antécédents de l’appelant, de sa situation administrative précaire et du manque de crédibilité de ses projets d’avenir. Ainsi, le préavis de la prison ne saurait à lui seul conduire à l’octroi de la libération conditionnelle. En effet, l’appelant a été condamné à seize reprises, entre 2004 et 2013, essentiellement pour des infractions contre le patrimoine, ainsi qu’aux législations sur les stupéfiants et les étrangers. Il a bénéficié d’une première libération conditionnelle le 7 décembre 2009, ce qui ne l’a pas dissuadé de réitérer ses agissements délictueux, puisqu’il a récidivé environ six mois après sa libération, soit durant le délai d'épreuve. Le nombre élevé d’antécédents sur une aussi longue période, témoigne de son enracinement dans la délinquance. De plus, l'appelant est démuni de tout titre de séjour en Suisse et fait l’objet d'une interdiction d’entrée dans notre pays. Ses violations répétées à la législation sur les étrangers montrent qu'il ne se soucie guère du fait qu'il n'a pas le droit de rester en Suisse.</w:t>
      </w:r>
    </w:p>
    <w:p>
      <w:r>
        <w:t>- 5/7 - PM/45/2014 Le risque de récidive est d’autant plus important que l’appelant n’a présenté aucun projet concret de réinsertion, se bornant à déclarer au premier juge, sans fournir le moindre document, qu’il avait l’intention de rejoindre son amie, avec laquelle il avait eu un enfant, en Belgique, pour se marier et travailler. Les perspectives de l'appelant, qui ne travaille pas en prison, de pouvoir contribuer à son entretien une fois libéré ne sont pas assurées et son projet apparait d'autant moins réalisable que l'intéressé, qui n’a aucune pièce d'identité, ne dispose d'aucun titre de séjour en Belgique à teneur du dossier. Par conséquent, la Chambre de céans, à l’instar du TAPEM, ne peut que retenir un pronostic défavorable quant au risque de voir l’appelant récidiver dans ses activités délictueuses, s'il devait sortir de manière anticipée.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et 14 al. 1 let. e du Règlement fixant le tarif des frais en matière pénale ; E 4 10.03). * * * * *</w:t>
      </w:r>
    </w:p>
    <w:p>
      <w:r>
        <w:t>- 6/7 - PM/45/2014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