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AARP/67/2018 vom 22. Dezember 2017</w:t>
      </w:r>
    </w:p>
    <w:p>
      <w:r>
        <w:t>GE Cour de justice, 2017-12-22, FR</w:t>
      </w:r>
    </w:p>
    <w:p>
      <w:r>
        <w:rPr>
          <w:b/>
        </w:rPr>
        <w:t xml:space="preserve">Quelle: </w:t>
      </w:r>
      <w:r>
        <w:t>https://mcp.opencaselaw.ch/entscheid/ge_gerichte_AARP_67_2018</w:t>
      </w:r>
    </w:p>
    <w:p>
      <w:r>
        <w:t>FR: GE_GERICHTE AARP/67/2018 du 22 décembre 2017</w:t>
      </w:r>
    </w:p>
    <w:p>
      <w:r>
        <w:t>IT: GE_GERICHTE AARP/67/2018 del 22 dicembre 2017</w:t>
      </w:r>
    </w:p>
    <w:p>
      <w:pPr>
        <w:pStyle w:val="Heading2"/>
      </w:pPr>
      <w:r>
        <w:t>Erwägungen</w:t>
      </w:r>
    </w:p>
    <w:p>
      <w:r>
        <w:rPr>
          <w:b/>
        </w:rPr>
        <w:t>E. 1</w:t>
      </w:r>
    </w:p>
    <w:p>
      <w:r>
        <w:t>1.1.1. C______ sollicite, au début des débats d'appel, le renvoi de l'audience dans l'attente de l'arrêt du Tribunal fédéral portant sur sa demande en rectification et interprétation. Au vu de l'erreur constatée dans l'arrêt du Tribunal fédéral du 5 juillet 2017 (cf supra d.a.), il était nécessaire d'être certain de savoir sur quels éléments le Tribunal fédéral avait arrêté son raisonnement critiquant la peine infligée à C______ comme étant excessivement clémente. La même question se posait quant à la mention d'avoir "tenté à plusieurs reprises" ni l'acte d'accusation, ni la CPAR ne l'ayant retenu. Le Tribunal fédéral avait laissé la CPAR libre de décider d'un renvoi. 1.1.2. Le Ministère public s'oppose au renvoi en relevant qu'il convenait d'admettre que le raisonnement du Tribunal fédéral s'appliquait à la peine prononcée, soit 13 ans. Contrairement à ce qui était soutenu, l'acte d'accusation mentionnait déjà que C______ s'était rendu au domicile de H______ dans le but de passer à l'acte sans avoir pu agir.</w:t>
      </w:r>
    </w:p>
    <w:p>
      <w:r>
        <w:rPr>
          <w:b/>
        </w:rPr>
        <w:t>E. 1.2</w:t>
      </w:r>
    </w:p>
    <w:p>
      <w:r>
        <w:t>La CPAR relève que le Tribunal fédéral lui a laissé le choix d'apprécier si elle était dans l'impossibilité de procéder jusqu'à droit connu. Il est patent que l'arrêt du Tribunal fédéral du 5 juillet 2017 mentionne par erreur une peine privative de liberté de 14 ans, en lieu et place de celle de 13 ans qui a été prononcée. Cela étant, aux motifs qu'il retient, cet arrêt ne peut que s'interpréter comme se rapportant à la peine de 13 ans prononcée par la CPAR et non à une hypothétique peine de 14 ans, le Tribunal fédéral n'ayant fait que critiquer les peines fixées. Il en résulte qu'il s'agit pour la CPAR d'une inadvertance manifeste, les considérants du Tribunal fédéral devant bien s'appliquer uniquement à la peine qui a été prononcée en octobre 2015, soit 13 ans. Cette interprétation est, par ailleurs, la plus favorable à l'intimé, de sorte qu'il n'y a pas lieu de reporter les débats dans l'attente d'un arrêt du Tribunal fédéral pour ce motif. En ce qui concerne la seconde citation relevée dans l'arrêt, soit que, selon le Tribunal fédéral, C______ "avait tenté de s'y prendre à plusieurs reprises sur plusieurs mois" et le fait que la CPAR n'aurait retenu "que des repérages et des projets s'étant succédés pendant les semaines et les mois précédents l'agression", l'intimé se méprend sur la portée à donner aux termes utilisés par le Tribunal fédéral. Il ne s'agit pas de tentatives au sens juridique du terme. Référence est, par ailleurs, faite d'une part à l'acte d'accusation qui (paragraphes 4 et</w:t>
      </w:r>
    </w:p>
    <w:p>
      <w:r>
        <w:rPr>
          <w:b/>
        </w:rPr>
        <w:t>E. 5</w:t>
      </w:r>
    </w:p>
    <w:p>
      <w:r>
        <w:t>Les appelants A______, F______ et G______, qui succombent, supporteront les frais de la procédure d'appel consécutive au renvoi par le Tribunal fédéral (art. 428 CPP), à raison de quatre quinzième chacun, et C______, qui succombe partiellement, de deux quinzième, le solde étant laissé à la charge de l'Etat, frais comprenant un émolument de jugement de CHF 7'000.-. (art. 14 al. 1 let. e du Règlement fixant le tarif des frais en matière pénale du 22 décembre 2010 [RTFMP ; RS E 4 10.03]).</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6.1.2.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46</w:t>
      </w:r>
    </w:p>
    <w:p>
      <w:r>
        <w:t>Cette dernière disposition prescrit que l'indemnité, en matière pénale, est calculée selon le tarif horaire suivant, débours de l'étude inclus : avocat stagiaire CHF 65.- (let. a) et chef d'étude CHF 200.- (let. c). En cas d'assujettissement, l'équivalent de la TVA est versé en sus. 6.1.3.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 travail consistant en des recherches juridiques, sauf questions particulièrement pointues, n'est pas indemnisé, l'État ne devant pas assumer la charge financière de la formation de</w:t>
      </w:r>
    </w:p>
    <w:p>
      <w:r>
        <w:t>47</w:t>
      </w:r>
    </w:p>
    <w:p>
      <w:r>
        <w:t>l'avocat stagiaire, laquelle incombe à son maître de stage, ou la formation continue de l'avocat breveté (AARP/147/2016 du 17 mars 2016 consid. 7.3; AARP/302/2013 du 14 juin 2013 ; AARP/267/2013 du 7 juin 2013). 6.1.4.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6.2</w:t>
      </w:r>
    </w:p>
    <w:p>
      <w:r>
        <w:t>Au vu de l'importance du dossier, il apparaît que l'activité développée par Me E______ est globalement conforme aux principes applicables en la matière et est justifiée, sous la réserve des 60 minutes de recherches juridiques et de jurisprudence effectuée par un stagiaire, ce temps n'ayant pas à être indemnisé par l'Etat. En outre, il y aura lieu de prendre en compte un forfait de 10% et non de 20% comme demandé, vu l'importance de l'activité déjà développée tant en première qu'en seconde instance. Il sera ainsi retenu 18 heures de relecture du dossier et de préparation des débats (CHF 3'600.-) et trois heures pour deux visites à U______ (CHF 600.-), outre la durée de l'audience d'appel (10.5 heures soit CHF 2'100.-), plus 10% (CHF 630.-) ainsi que l'équivalent de la TVA à raison de 8% (CHF 554.40) et les frais d'interprète en CHF 200.-, soit au total CHF 7'684.40. * * * * * *</w:t>
      </w:r>
    </w:p>
    <w:p>
      <w:r>
        <w:t>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