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AARP/66/2012 vom 5. März 2012</w:t>
      </w:r>
    </w:p>
    <w:p>
      <w:r>
        <w:t>GE Cour de justice, 2012-03-05, FR</w:t>
      </w:r>
    </w:p>
    <w:p>
      <w:r>
        <w:rPr>
          <w:b/>
        </w:rPr>
        <w:t xml:space="preserve">Quelle: </w:t>
      </w:r>
      <w:r>
        <w:t>https://mcp.opencaselaw.ch/entscheid/ge_gerichte_AARP_66_2012</w:t>
      </w:r>
    </w:p>
    <w:p>
      <w:r>
        <w:t>FR: GE_GERICHTE AARP/66/2012 du 5 mars 2012</w:t>
      </w:r>
    </w:p>
    <w:p>
      <w:r>
        <w:t>IT: GE_GERICHTE AARP/66/2012 del 5 marzo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la quotité de la peine (let. b); les mesures qui ont été ordonnées (let. c); les prétentions civiles ou certaines d’entre elles (let. d); les conséquences accessoires du jugement (let. e); les frais, les indemnités et la réparation du tort moral (let. f); les décisions judiciaires ultérieures (let. g). La Chambre limite son examen aux violations décrites dans l’acte d’appel (art. 404 al. 1 CPP).</w:t>
      </w:r>
    </w:p>
    <w:p>
      <w:r>
        <w:t>- 10/19 - P/12599/2007</w:t>
      </w:r>
    </w:p>
    <w:p>
      <w:r>
        <w:rPr>
          <w:b/>
        </w:rPr>
        <w:t>E. 2</w:t>
      </w:r>
    </w:p>
    <w:p>
      <w:r>
        <w:t>L’appelant conclut à son acquittement des chefs de faux dans les titres (art. 251 ch. 1 du code pénal suisse du 21 décembre 1937 - CP - RS 311.0) et d’abus de confiance (art. 138 ch. 1). 2.1.1.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2.1.2. L’art. 251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(ATF 132 IV 57 consid. 5.1.1 p. 60). A titre d’exemple, l’on peut mentionner le cas de l’auteur qui signe le titre du nom d’autrui pour faire croire faussement qu’il émane de cette personne (ATF 118 IV 254 consid. 4 p. 259), une signature usurpée n’étant du reste pas nécessaire, puisqu’il suffit que le titre fasse apparaître un faux auteur ou la signature d’une autre personne qui n’a nullement approuvé le contenu du texte (B.</w:t>
      </w:r>
    </w:p>
    <w:p>
      <w:r>
        <w:t>- 11/19 - P/12599/2007 CORBOZ, Les infractions en droit suisse, 3e édition, Berne 2010, n. 57 et n. 59 ad art. 251 CP). Le faux intellectuel vise, quant à lui, un titre qui émane de son auteur apparent, mais qui est mensonger dans la mesure où son contenu ne correspond pas à la réalité (ATF 132 IV 12 consid. 8.1 p. 14s). Dans ce dernier cas, le document en question doit avoir une valeur probante plus grande que dans l’hypothèse d’un faux matériel, sa crédibilité devant être accrue et son destinataire devant pouvoir s’y fier raisonnablement (ATF 129 IV 130 consid. 2.1 p. 134). Lorsqu’il y a création d’un titre faux, l’acte est punissable sans qu’il soit nécessaire de se demander encore s’il y a un faux intellectuel (ATF 123 IV 17 consid. 2e p. 21 ; B. CORBOZ, op. cit.,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 2.1.3. Commet un abus de confiance au sens de l’art. 138 ch. 1 al. 2 CP, celui qui, sans droit, 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op. cit., n. 19 ad art. 138 CP). S’agissant du transfert d’une somme d’argent, deux hypothèses sont envisageables : soit les fonds sont confiés à l’auteur par celui qui les lui remet, soit les fonds sont confiés par celui en faveur duquel l’auteur les encaisse. Pour que l’on puisse parler d’une somme confiée, il faut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w:t>
      </w:r>
    </w:p>
    <w:p>
      <w:r>
        <w:t>- 12/19 - P/12599/2007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 du Tribunal fédéral 6B_314/2011 du 27 octobre 2011 consid. 2.1).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L’auteur, par son acte, doit vouloir se procurer ou procurer à un tiers tout avantage patrimonial, une erreur sur les faits étant toutefois concevable (B. CORBOZ, op. cit.,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133 IV 21 consid. 6.1.2 p. 27 ; arrêt du Tribunal fédéral 6B_67/2011 du 20 septembre 2011 consid. 3.1) ou encore s’il était en droit de compenser (ATF 105 IV 39 consid. 3 p. 34ss ; arrêt du Tribunal fédéral 6B_17/2009 du 16 mars 2009 consid. 2.2.1). 2.2.1. En alléguant que les trois courriers de A______ portant les dates des 16 novembre 1990, 17 décembre 1999 et 7 janvier 2000 ont été signés de sa main aux dates indiquées, l’appelant conteste qu’ils constituent des faux, l’infraction à l’art. 251 CP n’étant pas réalisée. Il ne fait pas de doute que ces trois courriers constituent des titres au sens de cette disposition, dans la mesure où ils tendent à prouver l’existence d’un rapport juridique entre les parties, en l’occurrence un contrat de mandat (art. 394 ss du code des obligations du 30 mars 1911 - CO - RS 220), dont découle, en faveur de l’appelant, une rémunération sous forme d’honoraires pour le travail accompli, ainsi que le remboursement des frais avancés. Ces courriers sont dès lors propres et destinés à prouver cette volonté, l’appelant les ayant du reste utilisés à cette fin, les produisant à l’appui de la procédure de séquestre dirigée contre lui dans le canton de Vaud.</w:t>
      </w:r>
    </w:p>
    <w:p>
      <w:r>
        <w:t>- 13/19 - P/12599/2007 Certes, l’appelant a, durant toute la procédure, nié que ces trois lettres constituaient des faux. Il n’en a pas moins varié dans ses déclarations quant aux modalités de leur établissement. Alors qu’il a initialement indiqué les avoir dactylographiées après qu’il eût discuté de leur contenu avec la plaignante, il a par la suite nuancé ses propos, affirmant les avoir fait dactylographier par les employées de sa fiduciaire, ce qui n’a pas été confirmé par M______, pourtant employée de E______ SA jusqu’en 2004. Ces contradictions permettent déjà de douter de la véracité de ses allégations, d’autant qu’elles ne sont corroborées ni par la plaignante, ni par sa fille. S’il est vrai que leurs déclarations doivent être prises en considération avec circonspection, la première en raison de son âge avancé et de ses souvenirs confus, la seconde au vu de ses intérêts dans la procédure, il n’en demeure pas moins que toutes deux ont été constantes sur le fait qu’elles ignoraient d’une part le contenu de ces courriers, d’autre part leur auteur. En effet, confrontée à ces lettres, A______ n’avait pas le souvenir de les avoir signées, n’en comprenant pas même le sens et ayant expressément indiqué avoir pensé que la part de la succession B______ lui revenant était de CHF 25'000.- seulement. Il en va de même de K______, laquelle a trouvé des documents relatifs à cette succession alors qu’elle débarrassait l’appartement laissé vacant par sa mère en 2004, ne découvrant toutefois pas de copie de ces trois courriers, dont l’existence ne lui a été révélée qu’en marge de la procédure de séquestre ouverte dans le canton de Vaud en 2007. Du reste, le contenu de ces trois lettres apparaît dépourvu de cohérence. Alors que la plaignante, à l’ouverture de la succession en 1990, n’avait pas connaissance de son montant, comme elle l’a indiqué, il paraît peu probable qu’elle eût accepté de céder à l’appelant la moitié de celui-ci, comme mentionné dans la lettre du 16 novembre 1990. Il n’apparaît pas davantage crédible que la part demandée par l’Etude de généalogie, fixée à 50% de la succession, lui eût parue trop élevée, alors qu’elle aurait concédé la même portion de l’héritage à son ex-beau-fils, avant de lui céder l’intégralité de celui-ci, d’autant qu’elle avait un pressant besoin d’argent, comme elle le lui a fait savoir dans une lettre manuscrite datée du 5 février 2000. Quant aux courriers des 17 décembre 1999 et 7 janvier 2000, leur contenu, tautologique, est d’autant plus surprenant que le premier mentionne le montant de la succession libellé en euros, tandis que l’acte de partage notarié subséquent, du 8 décembre 2000, se réfère à la part revenant à chaque héritier en francs français. Certes, l’expertise graphologique effectuée par G______ a permis d’établir que la signature apposée sur chacun de ces trois courriers était authentique et n’avait pas fait l’objet d’une imitation ni d’une quelconque falsification, ayant été inscrite postérieurement à l’impression des documents. Il n’en demeure pas moins que l’expert a mis en évidence que ces trois signatures avaient été apposées au moyen du même stylo et présentaient le même défaut d’habileté, de sorte que les lettres avaient toutes été signées en même temps, l’une à la suite de l’autre, après août 2001.</w:t>
      </w:r>
    </w:p>
    <w:p>
      <w:r>
        <w:t>- 14/19 - P/12599/2007 Entendu par le Juge d’instruction, l’expert n’a pas exclu qu’elles aient été signées même après 2004. Le résultat de l’expertise est compatible avec les déclarations de la plaignante elle- même, laquelle a indiqué que l’appelant lui avait rendu plusieurs visites entre 2004 et 2005, d’abord à la gériatrie, puis à l’EMS, et avait tenté à ces occasions de lui faire signer des documents pour qu’il ne soit pas « emprisonné» et dont elle n’avait pas saisi le sens, ce que sa fille a, au demeurant, corroboré, de même que le témoin L______. De plus, l’appelant a admis avoir rendu visite à la plaignante à plusieurs reprises, la dernière fois en 2007, soit la veille de l’audience dans la procédure vaudoise de séquestre pour trouver un arrangement à leur litige. Le rapprochement de ces éléments permet de mettre en évidence que la plaignante n’est pas l’auteur des courriers des 16 novembre 1990, 17 décembre 1999 et 7 janvier 2000, lesquels ont été établis en même temps par l’appelant lui-même et bien après les dates indiquées, comme l’attestent l’expertise et la référence aux euros. L’appelant a fait signer les trois courriers antidatés à la plaignante, alors que celle-ci n'était pas en mesure d’adhérer à leur contenu, établissant de la sorte un faux matériel. L’appelant a agi intentionnellement, sachant pertinemment que la plaignante n’avait pas la moindre idée de la portée de ces documents qu’elle aurait refusé de signer autrement. Le dessein spécial doit également être admis sous la forme d’un avantage illicite, dans la mesure où l’établissement de ces courriers permettait à l’appelant de contrer toute prétention en restitution formée par la plaignante, raison pour laquelle il a produit ces documents dans le cadre de la procédure vaudoise de séquestre dirigée contre lui. Au vu de ce qui précède, le jugement querellé sera confirmé en tant qu’il reconnaît l’appelant coupable de faux dans les titres (art. 251 CP). 2.2.2. L’appelant considère avoir agi conformément aux instructions reçues par la plaignante, ayant été en droit de conserver par-devers lui la part de la succession de feu B______ revenant à A______, sous réserve du versement en faveur de celle-ci d’un montant forfaitaire de CHF 25'000.-. Il n’est pas contesté que l’appelant a été autorisé par la plaignante à encaisser, pour son compte, toute somme, valeurs et titres lui revenant selon le courrier du 7 décembre 2000 adressé à Me C______ et confirmant ainsi la procuration donnée au prévenu le 18 octobre 1990 dans le cadre de la succession de feu B______. Au vu des pouvoirs qui lui avaient été conférés, l’appelant était en droit, d’une part, de signer l’acte de partage du 8 décembre 2000, représentant ainsi la plaignante devant le notaire, et, d’autre part, de recevoir, pour le compte de cette dernière, la contre-valeur de la moitié des « CAPIMONETAIRES » composant l’actif successoral tel que mentionné dans cet acte, soit un montant net de</w:t>
      </w:r>
    </w:p>
    <w:p>
      <w:r>
        <w:t>- 15/19 - P/12599/2007 FF 863'785.34 versé par la suite sur un compte ouvert à son nom auprès de la BANQUE Q______. Il reste à déterminer si l’appelant pouvait conserver les valeurs lui ayant été confiées et si, en agissant de la sorte, il s’est conformé aux instructions de la plaignante. Aucun élément du dossier ne laisse présager du fait que la plaignante eût accepté de céder tout ou partie de la succession de feu B______ lui revenant pour rémunérer l’appelant et rembourser les frais qu’il allègue avoir déboursés dans ce but. Bien qu’un tel mandat soit habituellement onéreux, divers éléments laissent apparaître que tel n’était pas le cas. Ainsi, la plaignante a indiqué n’avoir jamais convenu d’une quelconque rémunération, pas davantage qu’un remboursement des frais de l’appelant, dès lors qu’elle pouvait légitimement penser que son ex-beau-fils, à qui elle faisait confiance et avec qui elle entretenait de bonnes relations, lui rendrait un service à titre gracieux. Il n’apparaît du reste pas que l’appelant l’a tenue informée de l’évolution du dossier, dans la mesure où elle n’avait connaissance d’aucun de ces éléments ni du résultat de la succession, pensant uniquement qu’une part de CHF 25'000.- lui était dévolue, ce qu’a confirmé sa fille. Tant le contenu de la procuration du 18 octobre 1990 que celui du courrier du 7 décembre 2000 plaident dans ce sens : ni l’un ni l’autre ne fait mention d’une rémunération ni d’une prise en charge des frais; à leur lecture, la plaignante ne pouvait supposer s’être engagée à un quelconque paiement, d’autant que K______ a indiqué que sa mère n’avait aucune idée de ce qu’était un mandat de gestion, ayant uniquement pensé donner à son ex- beau-fils le pouvoir de la représenter, sans autre implication. M______, alors employée de E______ SA, a également confirmé n’avoir pas le souvenir d’honoraires facturés à la plaignante. En tout état, une rémunération, telle que mentionnée dans les courriers des 16 novembre 1990, 17 décembre 1999 et 7 janvier 2000, paraît tout aussi improbable, dès lors que la plaignante supputait la succession de son cousin éloigné être passive, de sorte à ne pouvoir d’emblée convenir d’octroyer à l’appelant la moitié de sa part. Ce dernier a, au demeurant, confirmé qu’au moment du décès de B______, la plaignante n’avait aucune idée du montant pouvant lui revenir. Celle-ci n’était pas davantage susceptible de concéder, par la suite, l’intégralité de sa part à l’appelant, son courrier du 5 février 2000 insistant sur son besoin d’argent. Cet élément a, en outre, été confirmé par M______, qui n’avait pas connaissance d’une quelconque cession en faveur du prévenu, A______ ayant, au contraire, réclamé de l’argent. De même, si la plaignante avait cédé sa part, il paraît peu probable qu’elle eût demandé à l’appelant de la représenter devant le notaire pour encaisser le montant lui revenant, ni Me C______, ni ses collaborateurs n’ayant au demeurant été mis au courant d’une telle cession, pas davantage que du paiement d’honoraires. Certes, la plaignante a accepté le versement d’un montant de CHF 25'000.-. Celui-ci apparaît toutefois constituer la contre-valeur d’un chèque de FF 85'000.- encaissé par l’appelant, bien</w:t>
      </w:r>
    </w:p>
    <w:p>
      <w:r>
        <w:t>- 16/19 - P/12599/2007 avant le partage, et prélevé sur les liquidités résultant de la liquidation d’une partie de la succession, à l’exception des « CAPIMONETAIRES ». A______ était toutefois persuadée qu’il s’agissait de sa part de la succession, ignorant qu’il existait un solde d’un montant bien plus élevé résultant précisément des « CAPIMONETAIRES ». Il en va de même des frais allégués par l’appelant, ce dernier s’étant limité à produire des récapitulatifs confectionnés par lui ou par ses sociétés montrant des honoraires d’avocats liés à la procédure française de liquidation de la succession, en particulier le litige avec l’Etude de généalogie F______, dont l’existence n’est au demeurant pas établie. Aucun document ne vient corroborer ces récapitulatifs, l’appelant n’ayant pas produit la moindre facture de l’un ou l’autre avocat mentionnés, ni une quelconque preuve matérielle de leur paiement. En outre, la lecture du jugement français versé à la procédure suite à l’action introduite contre l’appelant par les époux D______ laisse apparaître que celui-ci avait préalablement fait payer ses frais par la succession indivise, justifiant d’autant moins un paiement à double par la plaignante. Dès lors, en ne restituant pas le montant de la succession à la plaignante, l’appelant a utilisé la part revenant à celle-ci de manière contraire aux instructions reçues. L’appelant a agi intentionnellement, se procurant de la sorte un enrichissement illégitime, soit la part de FF 863'785.34 de la succession dévolue à la plaignante; aucun élément du dossier ne lui permettait de penser avoir eu le droit de compenser ce montant avec de prétendus honoraires et frais auxquels la plaignante n’a jamais donné son accord. Au vu de ce qui précède, le jugement entrepris sera confirmé en tant qu’il reconnaît l’appelant coupable d’abus de confiance (art. 138 ch. 1 CP).</w:t>
      </w:r>
    </w:p>
    <w:p>
      <w:r>
        <w:rPr>
          <w:b/>
        </w:rPr>
        <w:t>E. 3.1</w:t>
      </w:r>
    </w:p>
    <w:p>
      <w:r>
        <w:t>Lorsque l’appelant qui plaide son acquittement n’a pas pris de conclusions subsidiaires, il incombe à la juridiction de céans d’examiner la peine prononcée en première instance sous le seul angle de l’art. 404 al. 2 CPP, qui proscrit les décisions illégales ou inéquitables et qui doit être interprété de manière restrictive, les débats en appel étant régis par la maxime de disposition. Selon la doctrine, il s’agit par exemple d’éviter le prononcé d’une peine illégale (« eine gesetzlich nichtzulässige Sanktion », N. SCHMID, Schweizerische Strafprozessordnung : Praxiskommentar, Zurich 2009, n. 3-4 p. 781 ad art. 404). En d’autres termes, cet examen se fait dans l’intérêt de la loi et doit être pratiqué le cas échéant en respectant le droit d’être entendu des autres parties (N. SCHMID, op. cit. n. 5 p. 781 ad art. 404) et il n’y a pas lieu d’en limiter l’application aux seuls appels fondés sur l’art. 399 al. 4 CPP (A. KUHN / Y. JEANNERET (éd.), Commentaire romand : Code de procédure pénale suisse, Bâle 2011, n. 2 et 4 p. 1798 ad art. 404 ; cf. également, plus restrictifs, M. NIGGLI / M. HEER / H. WIPRÄCHTIGER, Schweizerische Straf-prozessordnung /</w:t>
      </w:r>
    </w:p>
    <w:p>
      <w:r>
        <w:t>- 17/19 - P/12599/2007 Schweizerische Jugendstrafprozessordnung, Basler Kommentar StPO/JStPO, Bâle 2011, n. 1 p. 2671 ad art. 404).</w:t>
      </w:r>
    </w:p>
    <w:p>
      <w:r>
        <w:rPr>
          <w:b/>
        </w:rPr>
        <w:t>E. 3.2</w:t>
      </w:r>
    </w:p>
    <w:p>
      <w:r>
        <w:t>L’appelant n’a pas critiqué, même à titre subsidiaire, la peine à laquelle il a été condamné. La peine pécuniaire fixée à 300 jours-amende, à CHF 20.- le jour, par le premier juge étant conforme aux conditions de l’art. 34 CP, elle n’a pas à être modifiée.</w:t>
      </w:r>
    </w:p>
    <w:p>
      <w:r>
        <w:rPr>
          <w:b/>
        </w:rPr>
        <w:t>E. 4</w:t>
      </w:r>
    </w:p>
    <w:p>
      <w:r>
        <w:t>L’appelant, qui succombe, supportera les frais de la procédure envers l’Etat (art. 428 CPP).</w:t>
      </w:r>
    </w:p>
    <w:p>
      <w:r>
        <w:t>- 18/19 - P/12599/2007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