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AARP/65/2020 vom 17. Februar 2020</w:t>
      </w:r>
    </w:p>
    <w:p>
      <w:r>
        <w:t>GE Cour de justice, 2020-02-17, FR</w:t>
      </w:r>
    </w:p>
    <w:p>
      <w:r>
        <w:rPr>
          <w:b/>
        </w:rPr>
        <w:t xml:space="preserve">Quelle: </w:t>
      </w:r>
      <w:r>
        <w:t>https://mcp.opencaselaw.ch/entscheid/ge_gerichte_AARP_65_2020</w:t>
      </w:r>
    </w:p>
    <w:p>
      <w:r>
        <w:t>FR: GE_GERICHTE AARP/65/2020 du 17 février 2020</w:t>
      </w:r>
    </w:p>
    <w:p>
      <w:r>
        <w:t>IT: GE_GERICHTE AARP/65/2020 del 17 febbraio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w:t>
      </w:r>
    </w:p>
    <w:p>
      <w:r>
        <w:rPr>
          <w:b/>
        </w:rPr>
        <w:t>E. 2.2</w:t>
      </w:r>
    </w:p>
    <w:p>
      <w:r>
        <w:t>Ainsi qu’elle le reconnait, l'intimée n'a aucun lien avec la Suisse, la relation sentimentale qui aurait été, selon ses dires, à l’origine des précédentes ruptures de ban, étant sur le point de prendre fin. Au demeurant, vu la mesure d’expulsion obligatoire en force qui la frappe, l’intimée ne saurait prétendre pénétrer sur le territoire suisse, fût-ce pour y rejoindre son ami. A l'inverse, sa mère et sa sœur, auprès desquelles elle affirme vouloir se loger, vivent en France, pays dans lequel elle touche le RSA et où elle bénéficie d’un traitement de sa toxicomanie. Sa réinsertion y parait donc bien mieux assurée qu’en Suisse. Au regard de ses quatre condamnations pour la seule année 2019, les antécédents de l’intimée sont mauvais. Si sa consommation de stupéfiants induit déjà un risque de récidive, y compris d’infractions contre le patrimoine, celle-ci a en outre démontré ne pas avoir pris conscience de la portée de l’expulsion judiciaire déjà prononcée à son encontre, y ayant contrevenu à deux reprises dans un laps de temps extrêmement court. Le bien juridique protégé par l’infraction de rupture de ban, soit le respect de l’autorité publique, ne saurait être sous-estimé, pas davantage que le préjudice causé à la collectivité, y compris sur le plan matériel, par la répétition désinvolte des retours en Suisse de l’intéressée, un tel comportement mobilisant de nombreux acteurs appelés à le réprimer. L’autorité judiciaire a déjà par deux fois fait preuve de mansuétude, renonçant à prononcer une mesure d’expulsion facultative, ce qui conduit à retenir, avec le MP, qu’un signal fort s’impose cette fois, sous la forme d’un tel prononcé, avec pour conséquence qu’en cas de nouvelle rupture de ban, la sanction pourrait effectivement être d’autant plus sévère. Dans ces circonstances, le prononcé d’une mesure d’expulsion facultative apparait opportun, au regard des intérêts en jeu.</w:t>
      </w:r>
    </w:p>
    <w:p>
      <w:r>
        <w:t>- 6/10 - P/15576/2019 En revanche, il est vrai qu’à ce stade, et eu égard à la quotité de la peine, la durée de sept ans requise par le MP parait excessive. Une période de quatre ans, dont le terme coïncidera peu ou prou avec celui de la mesure déjà en force parait suffisant. Au regard des considérations précédentes, l'appel est partiellement admis et le jugement réformé.</w:t>
      </w:r>
    </w:p>
    <w:p>
      <w:r>
        <w:rPr>
          <w:b/>
        </w:rPr>
        <w:t>E. 3</w:t>
      </w:r>
    </w:p>
    <w:p>
      <w:r>
        <w:t>Les motifs ayant conduit le TP à prononcer, par ordonnance séparée du 7 octobre 2019, le maintien de l'intimée, en détention pour des motifs de sûreté sont toujours d'actualité, ce que celle-ci ne conteste au demeurant pas, de sorte que la mesure sera reconduite mutatis mutandis (ATF 139 IV 277 consid. 2.2 et 2.3), jusqu’au 24 février 2020 date à laquelle la peine infligée sera totalement compensée par la détention avant jugement.</w:t>
      </w:r>
    </w:p>
    <w:p>
      <w:r>
        <w:rPr>
          <w:b/>
        </w:rPr>
        <w:t>E. 4</w:t>
      </w:r>
    </w:p>
    <w:p>
      <w:r>
        <w:t>L’intimée qui succombe en grande partie supportera 75% des frais de la procédure d’appel, comprenant un émolument de CHF 1'000.- (art. 428 CPP ; art. 14 al. 1 let. e règlement fixant le tarif des frais en matière pénale du 22 décembre 2010 [RTFMP – E 410.03]), outre de l'émolument complémentaire de jugement de première instance.</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de 1h30 quel que soit le statut de l'avocat concerné, ce qui comprend le temps de déplacement (AARP/181/2017 du 30 mai 2017 consid. 8.2.2.2 et 8.3.5 ; cf. également Ordonnance de la Cour des plaintes du Tribunal pénal fédéral BB.2016.369 du 12 juillet 2017 consid. 4.2.4). 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w:t>
      </w:r>
    </w:p>
    <w:p>
      <w:r>
        <w:t>- 7/10 - P/15576/2019 communications, pièces et décisions (arrêt du Tribunal fédéral 6B_838/2015 du 25 juillet 2016 consid. 3.5.2).</w:t>
      </w:r>
    </w:p>
    <w:p>
      <w:r>
        <w:rPr>
          <w:b/>
        </w:rPr>
        <w:t>E. 5.2</w:t>
      </w:r>
    </w:p>
    <w:p>
      <w:r>
        <w:t>Les quatre heures consacrées par le défenseur d’office de l’intimée à la rédaction du mémoire de réponse à l’appel ne satisfont pas aux exigences d’efficacité et de célérité requise d’un chef d’étude, d’autant que le dossier était censé bien connu pour avoir été plaidé peu auparavant, devant le premier juge. Deux heures seront tenues pour suffisantes. Sa rémunération sera partant arrêtée à CHF 1'680.10 (6h30 x CHF 200.- + la majoration forfaitaire de 20% + TVA au taux de 7.7% [CHF 120.10]) * * * * *</w:t>
      </w:r>
    </w:p>
    <w:p>
      <w:r>
        <w:t>- 8/10 - P/15576/2019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