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AARP/64/2024 vom 1. März 2024</w:t>
      </w:r>
    </w:p>
    <w:p>
      <w:r>
        <w:t>GE Cour de justice, 2024-03-01, FR</w:t>
      </w:r>
    </w:p>
    <w:p>
      <w:r>
        <w:rPr>
          <w:b/>
        </w:rPr>
        <w:t xml:space="preserve">Quelle: </w:t>
      </w:r>
      <w:r>
        <w:t>https://mcp.opencaselaw.ch/entscheid/ge_gerichte_AARP_64_2024</w:t>
      </w:r>
    </w:p>
    <w:p>
      <w:r>
        <w:t>FR: GE_GERICHTE AARP/64/2024 du 1 mars 2024</w:t>
      </w:r>
    </w:p>
    <w:p>
      <w:r>
        <w:t>IT: GE_GERICHTE AARP/64/2024 del 1 marzo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L'infraction à l'art. 139 al. 1 et 2 aCP est passible d'une peine privative de liberté de dix ans au plus ou d'une peine pécuniaire de 90 jours-amende au moins.</w:t>
      </w:r>
    </w:p>
    <w:p>
      <w:r>
        <w:t>Les infractions aux art. 144 al. 1 CP, 186 CP et 291 al. 1 CP sont passibles d'une peine privative de liberté de trois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- 8/14 - P/2112/2018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2.3</w:t>
      </w:r>
    </w:p>
    <w:p>
      <w:r>
        <w:t>Le juge attenue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arrêts du Tribunal fédéral 6B_443/2020 du 11 juin 2020 consid. 1.2.2 et 6B_1368/2016 du 15 novembre 2017 consid. 5.1). La seule réparation du dommage ne témoigne pas nécessairement d'un repentir sincère ; un geste isolé ou dicté par l'approche du procès pénal ne suffit pas ; l'effort particulier exigé implique qu'il soit fourni librement et durablement (ATF 107 IV 98 consid. 1). De même, le fait qu'un délinquant ait passé des aveux ou manifesté des remords n'est pas non plus suffisant.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2.4.1. En l'espèce, la faute de l'appelant est importante. Il a commis de nombreuses infractions contre le patrimoine et la liberté d'autrui. Il a également transgressé à de nombreuses reprises la mesure d'expulsion qu'il savait avoir été prononcée à son encontre pour sévir sur le territoire national. La période pénale (cinq ans) est très importante. Les vols commis ont augmenté en intensité au fur et à mesure des années (entre trois et six occurrences par année entre 2017 et 2020 ; 10 occurrences en 2021 et 14 entre les seuls mois de janvier et août 2022). Seule l'intervention de la police a permis de mettre fin aux activités de l'appelant. S'il agissait initialement uniquement dans le canton de Genève, il a, en 2022, étendu son champ d'action géographique à deux autres cantons. De nombreuses occurrences de vol n'ont, certes, été que tentées. Cet élément doit toutefois être relativisé dans la mesure où la tentative n'est pas due au fait que l'appelant a lui-même renoncé à commettre l'infraction, mais résulte bien plutôt des circonstances (locaux fermés ou absence de valeurs à dérober). Il sera cependant retenu qu'il n'a qu'à une reprise commis des dommages lors des cambriolages perpétrés.</w:t>
      </w:r>
    </w:p>
    <w:p>
      <w:r>
        <w:t>- 9/14 - P/2112/2018 Au contraire de ce qu'il allègue, son mode opératoire, en particulier le fait qu'il a quasiment systématiquement agi de nuit, ne plaide pas en sa faveur. L'appelant savait que les lieux visités pouvaient alors être occupés et il prenait le risque de se retrouver confronté à des habitants qui auraient pu ne pas être endormis. Quand bien même il n'aurait rencontré personne, le traumatisme causé aux victimes, sachant que leur logement a été visité en leur présence alors qu'ils étaient endormis et vulnérables, n'en est pas moindre. Les mobiles de l'appelant relèvent de l'appât d'un gain facile. Sa situation personnelle n'explique pas ses agissements. En couple et père d'un jeune enfant, il avait la possibilité de travailler, notamment dans le domaine du bâtiment, dans lequel il a un diplôme, alors qu'il a déjà travaillé en France en cette qualité et qu'il souhaite continuer à y œuvrer après sa sortie de prison. Ses antécédents sont très mauvais et spécifiques. Ses précédentes condamnations et différents séjours en prison n'ont visiblement pas suffi à le dissuader de passer à nouveau à l'acte. L'infraction de rupture de ban commise démontre en outre d'un mépris certain pour les décisions rendues à son encontre. La collaboration de l'appelant à la procédure a été plutôt bonne. S'il a, dans un premier temps, refusé de collaborer avec la police, il a ensuite de manière générale reconnu les faits, étant toutefois précisé que la plupart des cas étaient établis grâce à des traces ADN ou des images de vidéosurveillance. La prise de conscience est amorcée. L'appelant a exprimé des regrets et présenté des excuses aux plaignants, auxquels il a visiblement écrit selon le courrier adressé au TCO et un extrait de son compte à la prison de F______. L'appelant a également acquiescé à l'action civile d'un plaignant pour un montant de CHF 480.- qu'il a remboursé le 12 décembre 2023. Il convient de saluer ces gestes, qui démontrent que celui-ci a évolué dans sa prise de conscience. Ces deux éléments ne permettent toutefois pas de retenir la circonstance atténuante du repentir sincère. Ces actes (dédommagement d'un plaignant et excuses) n'excèdent pas ce qui peut être attendu de tout prévenu dans le cadre d'une procédure pénale. En outre, et quand bien même les excuses de l'appelant paraissent sincères, il apparaît que les lettres aux parties plaignantes et le remboursement du montant de CHF 480.- ont été effectués temporellement à proximité des audiences de jugement, ce qui relativise leur caractère désintéressé. En effet, les courriers (16 et 30 mai 2023) sont intervenus peu de de temps avant l'audience devant le TCO (7 juillet 2023), alors que l'acte d'accusation avait été rendu le 3 mai 2023 et que le mandat de comparution avait été envoyé au conseil de l'appelant le 11 mai 2023. De même, le remboursement à la famille D______/E______ (12 décembre 2023) est intervenu peu de temps avant l'audience devant la CPAR (15 janvier 2024). On précisera encore</w:t>
      </w:r>
    </w:p>
    <w:p>
      <w:r>
        <w:t>- 10/14 - P/2112/2018 que le remboursement de CHF 480.- a pu être opéré grâce à un prêt du cousin de l'appelant et n'a ainsi pas engendré de sacrifice particulier pour l'intéressé. Ainsi, le dédommagement, de quelques centaines de francs, en cours de procédure d'appel, ne représente pas un effort si particulier qu'il constitue, au sens de la jurisprudence, un acte de repentir sincère au sens de l'art. 48 let. d CP. L'appelant allègue encore que sa situation serait aujourd'hui différente, dans la mesure où il aurait compris ses erreurs suite à la naissance de sa fille. La CPAR observe cependant que son enfant était déjà né lorsqu'il a commis la plupart des infractions reprochées. Ayant déjà purgé plusieurs peines de prison pour des faits similaires, il ne pouvait que connaître les risques qu'engendraient ses activités criminelles vis-à-vis de sa famille. Il a néanmoins décidé d'agir comme il l'a fait, ce qui ne constitue à l'évidence pas un élément à décharge. Il est patent que l'éloignement de sa famille a des conséquences pour l'appelant, qui souffre de cette séparation. Cette situation ne saurait cependant justifier une réduction de la peine, dans la mesure où la séparation alléguée est la conséquence directe de ses actes. 2.4.2. Au vu de la gravité des actes commis et de leur répétition, seule une peine privative de liberté entre en considération, ce qui n′est au demeurant pas contesté. Il y a concours au sens de l'art. 49 al. 1 CP, ce qui justifie une augmentation de la peine à partir de l'infraction la plus grave, en l'occurrence celle venant sanctionner l'infraction de vol par métier. Partant, la CPAR retiendra, tenant compte des éléments à charge comme à décharge – et notamment de la relativement bonne collaboration et prise de conscience initiée par l'appelant – qu'une peine de 30 mois est appropriée et sanctionne adéquatement ces faits. Cette peine sera étendue de six mois pour les infractions de violation de domicile (peine théorique : huit mois), de cinq mois pour les ruptures de ban (peine théorique : sept mois) et d'un mois pour l'infraction de dommages à la propriété (peine théorique : deux mois). L′appelant sera dès lors condamné à une peine privative de liberté de trois ans et six mois, sous déduction de la détention subie avant jugement. La question du sursis ne se pose pas au vu de la peine prononcée. Enfin, toute comparaison avec d'autres peines n'est pas pertinente dans la mesure où l'art. 47 CP impose une individualisation de la peine et que la situation de chaque prévenu, le contexte et les infractions commises sont différents. L'appel sera ainsi rejeté.</w:t>
      </w:r>
    </w:p>
    <w:p>
      <w:r>
        <w:rPr>
          <w:b/>
        </w:rPr>
        <w:t>E. 4</w:t>
      </w:r>
    </w:p>
    <w:p>
      <w:r>
        <w:t>L'appelant, qui succombe, supportera les frais d'appel, lesquels comprennent un émolument de CHF 1'500.- (art. 428 al. 1 CPP ; art. 14 al. 1 let. e du règlement fixant le tarif des frais en matière pénale [RTFMP]).</w:t>
      </w:r>
    </w:p>
    <w:p>
      <w:r>
        <w:t>- 11/14 - P/2112/2018</w:t>
      </w:r>
    </w:p>
    <w:p>
      <w:r>
        <w:rPr>
          <w:b/>
        </w:rPr>
        <w:t>E. 5.1</w:t>
      </w:r>
    </w:p>
    <w:p>
      <w:r>
        <w:t>Selon l'art. 135 al. 1 CPP, le défenseur d'office est indemnisé conformément au tarif des avocats de la Confédération ou du canton du for du procès. L'indemnité, en matière pénale, est calculée selon le tarif horaire suivant, débours de l'étude inclus : chef d'étude CHF 200.- (let. c) (art. 16 du règlement sur l'assistance juridique [RAJ]).</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Palais de justice est arrêtée à CHF 100.- pour les chefs d'étude, dite rémunération étant allouée d'office par la juridiction d'appel pour les débats devant elle.</w:t>
      </w:r>
    </w:p>
    <w:p>
      <w:r>
        <w:rPr>
          <w:b/>
        </w:rPr>
        <w:t>E. 5.2</w:t>
      </w:r>
    </w:p>
    <w:p>
      <w:r>
        <w:t>L'état de frais produit par Me C______, défenseure d'office de A______, sera globalement admis, sous réserve du poste consacré à la préparation de l'audience, qui sera réduit à deux heures et 30 minutes, durée paraissant suffisante eu égard à la faible difficulté de la cause. Seule la quotité de la peine était contestée en appel. En outre, le conseil de A______ avait déjà défendu celui-ci lors l'audience devant le TCO et devait ainsi connaître parfaitement cet aspect du dossier. Il convient encore de compléter l'état de frais de la durée de l'audience (une heure et cinq minutes) ainsi que d'une vacation au Palais de justice (CHF 100.-).</w:t>
      </w:r>
    </w:p>
    <w:p>
      <w:r>
        <w:t>La rémunération de Me C______ sera arrêtée à CHF 2'538.30 correspondant à 11 heures et cinq minutes d'activité au tarif de CHF 200.-/heure (CHF 2'216.65) plus la majoration forfaitaire de 10% (CHF 221.65) et la vacation (CHF 100.-). * * * * *</w:t>
      </w:r>
    </w:p>
    <w:p>
      <w:r>
        <w:t>- 12/14 - P/2112/2018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