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AARP/64/2019 vom 3. Februar 2019</w:t>
      </w:r>
    </w:p>
    <w:p>
      <w:r>
        <w:t>GE Cour de justice, 2019-02-03, FR</w:t>
      </w:r>
    </w:p>
    <w:p>
      <w:r>
        <w:rPr>
          <w:b/>
        </w:rPr>
        <w:t xml:space="preserve">Quelle: </w:t>
      </w:r>
      <w:r>
        <w:t>https://mcp.opencaselaw.ch/entscheid/ge_gerichte_AARP_64_2019</w:t>
      </w:r>
    </w:p>
    <w:p>
      <w:r>
        <w:t>FR: GE_GERICHTE AARP/64/2019 du 3 février 2019</w:t>
      </w:r>
    </w:p>
    <w:p>
      <w:r>
        <w:t>IT: GE_GERICHTE AARP/64/2019 del 3 febbraio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w:t>
      </w:r>
    </w:p>
    <w:p>
      <w:r>
        <w:t>- 8/16 - P/5671/2018 fonction de la situation objective (ATF 138 V 74 consid. 7; 127 I 38 consid. 2a et 124 IV 86 consid. 2a ; arrêts du Tribunal fédéral 6B_634/2018 du 22 août 2018 consid. 2.1 ; 6B_804/2017 du 23 mai 2018 consid. 2.2.3.3 destiné à la publication et 6B_1306/2017 du 17 mai 2018 consid. 2.1.1). 2.1.2. L’art. 19 al. 1 let. c LStup punit celui qui, sans droit, aliène ou prescrit des stupéfiants, en procure de toute autre manière à un tiers ou en met dans le commerce.</w:t>
      </w:r>
    </w:p>
    <w:p>
      <w:r>
        <w:rPr>
          <w:b/>
        </w:rPr>
        <w:t>E. 2.2</w:t>
      </w:r>
    </w:p>
    <w:p>
      <w:r>
        <w:t>En l’espèce, H______ a expliqué avoir acheté au détenteur du numéro exclusivement utilisé par le prévenu un peu moins d’un gramme de cocaïne sur la ______ [lieu public - Genève] le 22 mars 2018 pour un prix de CHF 80.-, quelques jours après avoir rencontré le vendeur et lui avoir donné son numéro de téléphone. Ses déclarations sont constantes et cohérentes. Elles sont en outre corroborées par le résultat de la surveillance rétroactive du raccordement du prévenu, selon laquelle il a été en contact avec ce témoin le 22 mars 2018 et ainsi que quelques jours auparavant, soit les 17 et 18 mars précédents. H______ n’avait du reste aucune raison de mentir dès lors qu’il avait avoué être un consommateur occasionnel de cocaïne. Il résulte ainsi du dossier que l’intimé s’est rendu coupable d’infraction à la LStup en rapport avec cette transaction, ce qui conduit à la réforme du jugement sur ce point. Le fait que H______ ne l’ait pas formellement identifié ne suffit pas à écarter sa culpabilité. Le témoin n’a en effet pas exclu le reconnaître et il n’est pas étonnant qu’il n’y soit pas parvenu avec certitude eu égard à la similitude des profils que présentent les dealers. L’acquittement du prévenu du chef d’infractions à la LStup sera pour le surplus confirmé. Il n’a en effet pas été identifié ni mis en cause d’une autre manière par les autres consommateurs interrogés, avec lesquels aucun contact ne ressort de la surveillance rétroactive de son raccordement. Fait certes exception E______, avec laquelle il a échangé des appels téléphoniques à quatre reprises au mois de mars 2018. Mais cette consommatrice ne l’a pas formellement identifié et surtout, elle n’a à aucun moment confirmé avoir effectivement acheté de la marijuana au détenteur du numéro utilisé par le prévenu. Le seul fait que l’intimé possède dans son téléphone les numéros des cinq consommateurs concernés ne suffit pas à établir sa culpabilité en relation avec les autres transactions, dans la mesure où cet élément ne démontre pas à lui seul la réalité des ventes qui lui sont reprochées. Ce d’autant moins que ses explications selon lesquelles il a acquis le téléphone d’un tiers environ un mois avant son interpellation, alors que les numéros des autres consommateurs y étaient déjà enregistrés, sont plausibles. Le raccordement qu’il utilise actuellement n’est en effet actif que depuis le début du mois de mars 2018 et, lorsqu’il a été arrêté le 28 février</w:t>
      </w:r>
    </w:p>
    <w:p>
      <w:r>
        <w:t>- 9/16 - P/5671/2018 dans le cadre d’une précédente procédure, les téléphones qu’il détenait lui ont été confisqués.</w:t>
      </w:r>
    </w:p>
    <w:p>
      <w:r>
        <w:rPr>
          <w:b/>
        </w:rPr>
        <w:t>E. 3</w:t>
      </w:r>
    </w:p>
    <w:p>
      <w:r>
        <w:t>Les infractions retenues contre le prévenu sont punissables d’une peine privative de liberté de trois ans au plus (art. 19 al. 1 LStup et art. 119 al. 1 de la loi sur les étrangers et l'intégration [LEI, soit la nouvelle appellation de la LEtr depuis le 1er janvier 2019, étant précisé que la teneur des dispositions en cause n'a pas été modifiée]), respectivement d’une année au plus (art. 115 al. 1 LEI) ou d’une peine pécuniaire. 3.1.1. Sauf disposition contraire, la peine pécuniaire est de trois jours-amende au moins et ne peut excéder 180 jours-amende (art. 34 al. 1 CP). L’art. 41 CP autorise le juge à prononcer une peine privative de liberté à la place d’une peine pécunaire, en justifiant son choix de manière circonstanciée (al. 2), si une peine privative de liberté paraît justifiée pour détourner l'auteur d'autres crimes ou délits (al. 1 let. a) ou s'il y a lieu de craindre qu'une peine pécuniaire ne puisse pas être exécutée (al. 1 let. b) Le juge suspend en règle générale l'exécution d'une peine pécuniaire ou d'une peine privative de liberté de deux ans au plus lorsqu'une peine ferme ne paraît pas nécessaire pour détourner l'auteur d'autres crimes ou délits (art. 42 al. 1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6</w:t>
      </w:r>
    </w:p>
    <w:p>
      <w:r>
        <w:t>6.1.1.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6.1.2. Selon l'art. 135 al. 1 CPP, le défenseur d'office ou le conseil juridique gratuit (cf. art. 138 al. 1 CPP) est indemnisé conformément au tarif des avocats de la Confédération ou du canton du for du procès. L’art. 16 al. 1, let. b du règlement sur l'assistance juridique du 28 juillet 2010 (RAJ ; E 2 05.04) prescrit que l'indemnité, en matière pénale, est calculée selon le tarif horaire de CHF 150.- pour un collaborateur,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L'activité consacrée aux conférences, audiences et autres actes de la procédure est forfaitairement majorée de 20% jusqu’à 30 heures de travail décomptées depuis l'ouverture de la procédure, et de 10% au-delà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l’espèce, de l’état de frais de Me B______ sont retenues 5h00 d’examen du dossier et de rédaction de la réponse, ainsi que 1h00 d’entretien avec le client, durée</w:t>
      </w:r>
    </w:p>
    <w:p>
      <w:r>
        <w:t>- 13/16 - P/5671/2018 suffisante pour l’informer des suites de la procédure. L’activité du défenseur d’office précède pour le surplus la saisine de la CPAR et échappe dès lors à son examen, étant rappelé, en ce qui concerne les visites à la prison, que l’intimé n’était à leur date plus détenu dans le cadre de la présente cause. L’indemnité lui étant due sera ainsi arrêtée à CHF 1'163.20, correspondant à 6h00 d’activité à CHF 150.-/heure (CHF 900.-), plus la majoration forfaitaire de 20% (CHF 180.-) et la TVA de 7.7% (CHF 83.16). * * * * *</w:t>
      </w:r>
    </w:p>
    <w:p>
      <w:r>
        <w:t>- 14/16 - P/5671/2018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