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AARP/64/2016 vom 25. Februar 2016</w:t>
      </w:r>
    </w:p>
    <w:p>
      <w:r>
        <w:t>GE Cour de justice, 2016-02-25, FR</w:t>
      </w:r>
    </w:p>
    <w:p>
      <w:r>
        <w:rPr>
          <w:b/>
        </w:rPr>
        <w:t xml:space="preserve">Quelle: </w:t>
      </w:r>
      <w:r>
        <w:t>https://mcp.opencaselaw.ch/entscheid/ge_gerichte_AARP_64_2016</w:t>
      </w:r>
    </w:p>
    <w:p>
      <w:r>
        <w:t>FR: GE_GERICHTE AARP/64/2016 du 25 février 2016</w:t>
      </w:r>
    </w:p>
    <w:p>
      <w:r>
        <w:t>IT: GE_GERICHTE AARP/64/2016 del 25 febbraio 2016</w:t>
      </w:r>
    </w:p>
    <w:p>
      <w:pPr>
        <w:pStyle w:val="Heading2"/>
      </w:pPr>
      <w:r>
        <w:t>Erwägungen</w:t>
      </w:r>
    </w:p>
    <w:p>
      <w:r>
        <w:rPr>
          <w:b/>
        </w:rPr>
        <w:t>E. 1</w:t>
      </w:r>
    </w:p>
    <w:p>
      <w:r>
        <w:t>La demande de révision a été formée devant l'autorité compétente (art. 21 al. 1 let. b du Code de procédure pénale suisse du 5 octobre 2007 [CPP ; RS 312.0] cum art. 130 al. 1 let. a de la Loi sur l'organisation judiciaire du 26 septembre 2010 [LOJ ; E 2 05]), selon la forme prévue par la loi et n'est soumise à aucun délai particulier, sauf dans les cas visés à l'art. 410 al. 1 let. b et al. 2 CPP, qui n'entrent pas en ligne de compte en l'occurrence (art. 411 al. 1 et 2 dernière phrase CPP).</w:t>
      </w:r>
    </w:p>
    <w:p>
      <w:r>
        <w:t>Partant, elle est recevable.</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t>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 arrêt du Tribunal fédéral 6B_36/2014 précité).</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w:t>
      </w:r>
    </w:p>
    <w:p>
      <w:r>
        <w:t>- 4/5 - P/17255/2015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Cette jurisprudence, rendue avant l'entrée en vigueur du CPP, garde sa portée (arrêts du Tribunal fédéral 6B_1138/2014 du 16 janvier 2015 consid. 1.3 et 6B_310/2011 du 20 juin 2011 consid. 1.3).</w:t>
      </w:r>
    </w:p>
    <w:p>
      <w:r>
        <w:rPr>
          <w:b/>
        </w:rPr>
        <w:t>E. 2.2</w:t>
      </w:r>
    </w:p>
    <w:p>
      <w:r>
        <w:t>En l'espèce, le dossier n'établit pas si A______ a pris connaissance de la mise en demeure qui lui a été adressée par le SDC le 8 septembre 2014. Quant à l'ordonnance pénale dont la révision est demandée, le pli recommandé n'a pas été retiré et est parvenu en retour au SDC avec la mention "non réclamé", ce qui vaut notification.</w:t>
      </w:r>
    </w:p>
    <w:p>
      <w:r>
        <w:t>Cela étant, il ressort des documents que A______ a pu obtenir ultérieurement, et qui ont été produits dans la procédure de révision, que la voiture de marque NISSAN immatriculée VS 1______ n'était pas la propriété de la société B______, dont le requérant est l'associé gérant, mais bien d'une société D______, dont la précédente raison sociale avait été BA______, sans "s".</w:t>
      </w:r>
    </w:p>
    <w:p>
      <w:r>
        <w:t>La demande de révision en tant qu'elle repose sur des faits nouveaux et sérieux, inconnus des parties au moment où l'ordonnance querellée a été rendue, est ainsi recevable et doit être admise, le requérant n'ayant pas à répondre d'un véhicule qui n'appartient pas à la société dont il est le représentant.</w:t>
      </w:r>
    </w:p>
    <w:p>
      <w:r>
        <w:t>L'ordonnance pénale n° 2839139 rendue à l'encontre de A______ est annulée.</w:t>
      </w:r>
    </w:p>
    <w:p>
      <w:r>
        <w:rPr>
          <w:b/>
        </w:rPr>
        <w:t>E. 3</w:t>
      </w:r>
    </w:p>
    <w:p>
      <w:r>
        <w:t>Vu l'issue de la procédure, les frais de la procédure de révision seront laissés à la charge de l'Etat (art. 428 CPP). * * * * *</w:t>
      </w:r>
    </w:p>
    <w:p>
      <w:r>
        <w:t>- 5/5 - P/17255/2015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