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AARP/63/2018 vom 23. Februar 2018</w:t>
      </w:r>
    </w:p>
    <w:p>
      <w:r>
        <w:t>GE Cour de justice, 2018-02-23, FR</w:t>
      </w:r>
    </w:p>
    <w:p>
      <w:r>
        <w:rPr>
          <w:b/>
        </w:rPr>
        <w:t xml:space="preserve">Quelle: </w:t>
      </w:r>
      <w:r>
        <w:t>https://mcp.opencaselaw.ch/entscheid/ge_gerichte_AARP_63_2018</w:t>
      </w:r>
    </w:p>
    <w:p>
      <w:r>
        <w:t>FR: GE_GERICHTE AARP/63/2018 du 23 février 2018</w:t>
      </w:r>
    </w:p>
    <w:p>
      <w:r>
        <w:t>IT: GE_GERICHTE AARP/63/2018 del 23 febbraio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w:t>
      </w:r>
    </w:p>
    <w:p>
      <w:r>
        <w:t>- 5/10 - P/16344/2015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w:t>
      </w:r>
    </w:p>
    <w:p>
      <w:r>
        <w:t>- 6/10 - P/16344/2015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2.1.3. Selon la jurisprudence, le conducteur d'un véhicule automobile ne saurait se voir condamner à une infraction de la loi sur la circulation routière que s'il est établi à satisfaction de droit qu'il est bien l'auteur de celle-ci. Ainsi,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S'il arrive à la conclusion que le détenteur, malgré ses dénégations, est bien le conducteur fautif, la condamnation est fondée (ATF 106 IV 142 consid. 3 p. 142). Il ne suffit pas au détenteur d'invoquer le droit au silence ou le droit de ne pas s'auto-incriminer pour échapper à une sanction lorsque sa culpabilité n'est pas douteuse (arrêts du Tribunal fédéral 6B_914/2015 du 30 juin 2016 consid. 1.2 ; 6B_237/2015 du 16 février 2016 consid. 2.1 et les références citées). 2.1.4. Les constellations des "déclarations contre déclarations", dans lesquelles celles de la présumée victime en tant que principal élément à charge et les déclarations contradictoires de la personne accusée s’opposent, ne doivent pas nécessairement ou seulement très vraisemblablement, sur la base du principe in dubio pro reo, conduire à un acquittement. L’appréciation définitive des déclarations des participants incombe au juge du fond (ATF 137 IV 122 consid. 3.3 = JdT 2012 IV p. 79 ; M. NIGGLI / M. HEER / H. WIPRÄCHTIGER [éds], Strafprozessordnung / Jugendstrafprozessordnung, Basler Kommentar StPO/JStPO, 2e éd., Bâle 2014, n. 83 ad art. 11).</w:t>
      </w:r>
    </w:p>
    <w:p>
      <w:r>
        <w:rPr>
          <w:b/>
        </w:rPr>
        <w:t>E. 2.2</w:t>
      </w:r>
    </w:p>
    <w:p>
      <w:r>
        <w:t>À teneur de l'art. 90 al. 2 LCR, est considérée comme grave la violation grossière d'une règle fondamentale, qui crée un sérieux danger pour la vie d'autrui, même de manière abstraite. Le cas est objectivement grave au sens de l'art. 90 al. 2 LCR, sans égard aux circonstances concrètes, en cas de dépassement de la vitesse autorisée de 25 km/h ou plus à l'intérieur des localités (ATF 132 II 234 consid. 3.1 p. 237 s. ; 124 II 259 consid. 2b p. 261 ss ; 123 II 106 consid. 2c p. 113 et les références citées).</w:t>
      </w:r>
    </w:p>
    <w:p>
      <w:r>
        <w:rPr>
          <w:b/>
        </w:rPr>
        <w:t>E. 2.3</w:t>
      </w:r>
    </w:p>
    <w:p>
      <w:r>
        <w:t>En l'espèce, il est établi par les éléments figurant à la procédure et non contestés que, le vendredi 30 janvier 2015 à 22h07, le conducteur du véhicule ___ immatriculé GE ___ a commis un dépassement de vitesse de plus de 45 km/h sur la route de Saint-Julien, alors que la vitesse maximale signalée était de 50 km/h sur ce tronçon,</w:t>
      </w:r>
    </w:p>
    <w:p>
      <w:r>
        <w:t>- 7/10 - P/16344/2015 réalisant ainsi une violation grave des règles de la circulation routière (art. 90 al. 2 LCR). La Cour de céans retient néanmoins qu'il existe un doute quant au fait de savoir si l'intimé est l'auteur de l'infraction, compte tenu de ses dénégations, étant précisé qu'il n'est pas le détenteur du véhicule litigieux. En effet, les explications du prévenu sont cohérentes et constantes. S'il a admis avoir conduit sur la route de Saint-Julien en direction de la route des Jeunes le véhicule de C______ en sa compagnie un soir lors d'un week-end aux environs de 21h30, n'excluant pas un dépassement de vitesse de l'ordre de 5 ou 10 km/h, il a toutefois précisé qu'il était improbable qu'il soit l'auteur d'un tel excès sur ce tronçon qu'il connaissait, que cela avait pu se produire un vendredi ou un samedi, qu'il ne neigeait pas, la chaussée étant seulement humide, mais surtout, alors même qu'il faisait nuit, qu'aucun d'eux n'avaient vu de flash, ce que C______ a confirmé. Le témoin C______, qui s'est également montré constant dans ses déclarations, a cependant été incapable d'indiquer l'état de la route et le parcours précis qu'ils avaient emprunté, alors même qu'il a été entendu par la police seulement un mois après les faits. Enfin, comme l'a retenu le premier juge sans que cela ne soit établi, C______ pouvait avoir tout intérêt à incriminer la seule personne qui, selon ses dires, avait emprunté son véhicule le soir en question. En l'absence d'autres éléments à charge, s'il est certes acquis que le prévenu a fait une course d'essai avec le véhicule prêté par C______, il est toutefois impossible de dire avec certitude qu'il s'agissait du vendredi 30 janvier 2015 à 22h07, soit l'instant précis du dépassement de vitesse. Au vu de ce qui précède, l'acquittement prononcé au bénéfice du doute en première instance sera confirmé et l'appel du Ministère public rejeté.</w:t>
      </w:r>
    </w:p>
    <w:p>
      <w:r>
        <w:rPr>
          <w:b/>
        </w:rPr>
        <w:t>E. 3.1</w:t>
      </w:r>
    </w:p>
    <w:p>
      <w:r>
        <w:t>En appel, l’art. 428 al. 1 CPP dispose que les frais sont mis à la charge des parties dans la mesure où elles ont obtenu gain de cause ou succombé. Pour déterminer si une partie succombe ou obtient gain de cause, il faut examiner dans quelle mesure ses conclusions sont admises (arrêt du Tribunal fédéral 1B_575/2011 du 29 février 2012 consid. 2.1).</w:t>
      </w:r>
    </w:p>
    <w:p>
      <w:r>
        <w:rPr>
          <w:b/>
        </w:rPr>
        <w:t>E. 3.2</w:t>
      </w:r>
    </w:p>
    <w:p>
      <w:r>
        <w:t>Vu l'issue de la procédure, les frais seront laissés à la charge de l'Etat (art. 428 al. 1 CPP).</w:t>
      </w:r>
    </w:p>
    <w:p>
      <w:r>
        <w:rPr>
          <w:b/>
        </w:rPr>
        <w:t>E. 4</w:t>
      </w:r>
    </w:p>
    <w:p>
      <w:r>
        <w:t>4.1.1. A teneur de l'art. 429 al. 1 let. a CPP, applicable par renvoi de l'art. 436 CPP, le prévenu acquitté totalement ou en partie ou au bénéfice d'un classement a droit à une indemnité pour les dépenses occasionnées par l'exercice raisonnable de ses droits</w:t>
      </w:r>
    </w:p>
    <w:p>
      <w:r>
        <w:t>- 8/10 - P/16344/2015 de procédure. L'indemnité concerne les dépenses du prévenu pour un avocat de choix (ATF 138 IV 205 consid. 1 p. 206). Elle couvre en particulier les honoraires d'avocat, à condition que le recours à celui-ci procède d'un exercice raisonnable des droits de procédure. Selon l'alinéa 2 de cet article, l'autorité pénale examine d'office les prétentions du prévenu et peut enjoindre à celui-ci de les chiffrer et de les justifier. Les démarches superflues, abusives ou excessives ne sont pas indemnisées (cf. ATF 115 IV 156 consid. 2d ; M. NIGGLI / M. HEER / H. WIPRÄCHTIGER, op. cit., n. 16 ad art. 429). Le juge, qui dispose d'une marge d'appréciation à cet égard, devrait ne pas se montrer trop exigeant dans l'appréciation rétrospective qu'il porte sur les actes nécessaires à la défense du prévenu et, s'il s'écarte notablement de la note d'honoraires présentée, en motiver les raisons (M. NIGGLI / M. HEER / H. WIPRÄCHTIGER, op. cit., n. 18 et 19 ad art. 429). 4.1.2.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p. 357 ; arrêts du Tribunal fédéral 6B_203/2015 du 16 mars 2016 consid. 1.2 et 6B_77/2013 du 4 mars 2013 consid. 2.4).</w:t>
      </w:r>
    </w:p>
    <w:p>
      <w:r>
        <w:rPr>
          <w:b/>
        </w:rPr>
        <w:t>E. 4.2</w:t>
      </w:r>
    </w:p>
    <w:p>
      <w:r>
        <w:t>Considérée globalement, l'activité déployée pour la défense de l'intimé apparaît admissible. Partant, une indemnité de CHF 770.- lui sera allouée pour les dépenses occasionnées par l'exercice raisonnable de ses droits de procédure en d'appel, à savoir 3 heures et 40 minutes d'activité de collaborateur au taux horaire de CHF 210.-, TVA due en sus par CHF 61.60. * * * * *</w:t>
      </w:r>
    </w:p>
    <w:p>
      <w:r>
        <w:t>- 9/10 - P/16344/2015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