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AARP/63/2017 vom 21. Februar 2017</w:t>
      </w:r>
    </w:p>
    <w:p>
      <w:r>
        <w:t>GE Cour de justice, 2017-02-21, FR</w:t>
      </w:r>
    </w:p>
    <w:p>
      <w:r>
        <w:rPr>
          <w:b/>
        </w:rPr>
        <w:t xml:space="preserve">Quelle: </w:t>
      </w:r>
      <w:r>
        <w:t>https://mcp.opencaselaw.ch/entscheid/ge_gerichte_AARP_63_2017</w:t>
      </w:r>
    </w:p>
    <w:p>
      <w:r>
        <w:t>FR: GE_GERICHTE AARP/63/2017 du 21 février 2017</w:t>
      </w:r>
    </w:p>
    <w:p>
      <w:r>
        <w:t>IT: GE_GERICHTE AARP/63/2017 del 21 febbraio 2017</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w:t>
      </w:r>
    </w:p>
    <w:p>
      <w:r>
        <w:rPr>
          <w:b/>
        </w:rPr>
        <w:t>E. 5</w:t>
      </w:r>
    </w:p>
    <w:p>
      <w:r>
        <w:t>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2.1.1. Aux termes de l'art. 5 al. 3 de la Constitution fédérale de la Confédération suisse du 18 avril 1999 (Cst.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p. 53 et les arrêts cités). On a déduit du principe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(ATF 138 I 49 précité ; ATF 134 I 199 consid. 3.1.1 p. 203 ; arrêt du Tribunal fédéral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(ATF 138 I 49 précité ; arrêt du Tribunal fédéral 2C_962/2012 du 21 mars 2013 consid. 3.2). Une plus grande sévérité est de mise à l'endroit d'un homme de loi qu'à l'égard d'un simple particulier (ATF 138 I 49 précité ; ATF 134 I 199 consid. 13.1 p. 202 ; ATF 117 Ia 297 consid. 2 p. 29 ; arrêt du Tribunal fédéral 6B_688/2013 du 28 octobre 2013 consid. 3.2). 2.1.2. Le principe de la bonne foi s'oppose à ce qu'une partie qui constate un prétendu vice de procédure ne le signale pas immédiatement, à un moment où il pourrait</w:t>
      </w:r>
    </w:p>
    <w:p>
      <w:r>
        <w:t>- 9/22 - P/19166/2013 encore être, le cas échéant, corrigé, mais attende l'issue de la procédure pour l'invoquer ultérieurement si celle-ci lui a été défavorable (ATF 135 III 334 consid. 2.2 p. 336 ; arrêt du Tribunal fédéral 6B_93/2014 du 21 août 2014 consid. 3.2). 2.2.1. Selon le CPP, le ministère public rend une ordonnance pénale si, durant la procédure préliminaire, le prévenu a admis les faits ou que ceux-ci sont établis et que, incluant une éventuelle révocation d'un sursis ou d'une libération conditionnelle, il estime suffisant l'une des peines énumérées aux lettres a à d de l'art. 352 al. 1 CPP. L'ordonnance pénale est immédiatement notifiée par écrit aux personnes et aux autorités qui ont qualité pour former opposition (art. 353 al. 3 CPP). En cas d'opposition, le ministère public administre les autres preuves nécessaires au jugement de l'opposition (art. 355 al. 1 CPP). Après l'administration de celles-là, le ministère public décide de maintenir l'ordonnance pénale, de classer la procédure, de rendre une nouvelle ordonnance pénale ou de porter l'accusation devant le tribunal de première instance (art. 355 al. 3 let. a à d CPP). 2.2.2.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(ATF 138 IV 241 consid. 2.5 et 2.6 p. 245 ss ; ACPR/457/2012 du 19 octobre 2012 consid. 2.1).</w:t>
      </w:r>
    </w:p>
    <w:p>
      <w:r>
        <w:t>2.2.3. Les motifs permettant le classement sont énumérés à l'art. 319 CPP et tiennent à l'absence de soupçons suffisants (al. 1 let. a), de typicité (al. 1 let. b) ou d'illicéité (al. 1 let c), à l'existence d'un empêchement à la poursuite (al. 1 let. d), enfin, dans une mesure limitée, à l'opportunité (al. 1 let. e et al. 2). L'ordonnance de classement doit être rendue par écrit et motivée (art. 80 al. 2 CPP). Il s'agit d'un prononcé qui doit, à ce titre, contenir une introduction, un exposé des motifs, un dispositif et l'indication des voies de droit (art. 81 CPP). Elle est sujette à recours dans les 10 jours devant l'autorité de recours (art. 322 al. 2 CPP), de sorte qu'elle doit être notifiée aux parties (art. 321 CPP).</w:t>
      </w:r>
    </w:p>
    <w:p>
      <w:r>
        <w:t>2.3.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de la Convention de sauvegarde des droits de l’homme et des libertés fondamentales du 4 novembre 1950 (CEDH - RS 0.101), qui n'ont à cet égard pas de portée distincte. Il</w:t>
      </w:r>
    </w:p>
    <w:p>
      <w:r>
        <w:t>- 10/22 - P/19166/2013 implique que le prévenu sache exactement les faits qui lui sont imputés et quelles sont les peines et mesures auxquelles il est exposé, afin qu'il puisse s'expliquer et préparer efficacement sa défense (ATF 140 IV 188 consid. 1.3 p. 190 ; ATF 133 IV 235 consid. 6.2 p. 244 ; ATF 126 I 19 consid. 2a p. 21 ; arrêt du Tribunal fédéral 6B_58/2016 du 18 août 2016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Des imprécisions quant au lieu ou à la date de l'infraction reprochée sont sans portée dès lors qu'il n'existe dans l'esprit du prévenu aucun doute quant au comportement qui lui est reproché (arrêts du Tribunal fédéral 6B_58/2016 du 18 août 2016 consid. 1.1 ; 6B_552/2014 du 25 septembre 2014 consid. 1.1 et 6B_1121/2013 du 6 mai 2014 consid. 3.2). La question de savoir si l'indication temporelle donnée est suffisamment précise doit être examinée concrètement, en tenant compte de tous les éléments mentionnés dans l'acte d'accusation (arrêt du Tribunal fédéral 6B_728/2014 du 3 juin 2015 consid. 3.2).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w:t>
      </w:r>
    </w:p>
    <w:p>
      <w:r>
        <w:t>- 11/22 - P/19166/2013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 2.4.1. Il est vrai que suite à une erreur du MP, l'ordonnance pénale et de classement partiel du 10 décembre 2015 n'a pas été notifiée à l'appelante, pourtant partie plaignante, en violation, notamment, de l'art. 321 CPP. Pour autant, à réception de la convocation à l'audience de jugement, l'appelante, assistée d'un avocat, devait nécessairement comprendre que le MP avait soit maintenu la précédente ordonnance, soit prononcé une nouvelle ordonnance sur opposition, soit, éventuellement, dressé un acte d'accusation. On aurait partant pu attendre d'elle qu'elle vérifie quel était le cas de figure, ne serait-ce que dans le but de déterminer quel était le cadre des débats. Cela lui aurait permis d'apprendre qu'une nouvelle ordonnance pénale valant aussi ordonnance de classement partiel avait été rendue. Ayant ainsi manqué de diligence, l'appelante n'a découvert qu'au cours des débats quelle était la situation. S'estimant victime d'un vice grave de procédure, à l'entendre aujourd'hui, elle devait s'en plaindre aussitôt et en demander la réparation qu'elle estimait adéquate, soit, à la suivre, le retour du dossier au MP. Au lieu de cela, elle a formellement déclaré consentir à ce que le Tribunal de police prononce la clôture des débats et procède à la délibération. Et encore : après l'audience, l'appelante a requis et obtenu délivrance de l'ordonnance contestée, sans saisir la Chambre pénale de recours, dans le délai de 10 jours ; en cours de procédure d'appel, elle a estimé utile de préciser qu'elle n'envisageait pas une telle démarche en l'état, afin, selon elle, de ne pas compliquer la procédure. Ainsi, l'appelante a expressément renoncé à se plaindre du vice lorsqu'elle en a eu connaissance, laissant le juge du fond procéder, puis a encore par deux fois renoncé à recourir de l'ordonnance de classement partiel qu'elle se plaint pourtant de ne pas avoir pu entreprendre faute de notification. Dans ces circonstances, elle doit être tenue pour triplement forclose à se prévaloir, à ce stade tardif, du vice de procédure qu'elle soulève, en violation du principe de la bonne foi.</w:t>
      </w:r>
    </w:p>
    <w:p>
      <w:r>
        <w:t>- 12/22 - P/19166/2013 2.4.2. Au demeurant, l'appelante confond classement et qualification juridique. L'ordonnance de classement partiel dont elle lamente l'absence de notification porte en effet sur les agissements relevant, ou susceptibles de relever, de la violation de domicile. Or, l'intéressée n'a jamais affirmé qu'elle envisagerait de recourir contre la renonciation à poursuivre ce complexe de fait. Les circonstances relatives au déroulement du contact physique entre les parties et les conséquences pour l'appelante n'ont pour leur part nullement été classées, mais ont, bien au contraire, été retenues dans l'ordonnance pénale valant acte d'accusation, par laquelle l'intimé a été renvoyé en jugement. Certes, le MP a retenu la qualification juridique de voies de fait, mais rien n'empêchait le Tribunal de police, s'il n'avait exclu la culpabilité en retenant que l'élément constitutif subjectif de l'intention n'était de toute façon pas réalisé, d'envisager une autre qualification juridique, même d'office, tout comme rien n'empêchait l'appelante de plaider les lésions corporelles simples. Le grief s'avère ainsi également infondé. 3. 3.1.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w:t>
      </w:r>
    </w:p>
    <w:p>
      <w:r>
        <w:t>- 13/22 - P/19166/2013 consid. 2a p. 41 ; arrêt du Tribunal fédéral 6B_784/2011 du 12 mars 2012 consid. 1.1). 3.2. Selon l'art. 12 al. 2 CP, agit intentionnellement quiconque commet un crime ou un délit avec conscience et volonté. L'auteur agit déjà intentionnellement lorsqu'il tient pour possible la réalisation de l'infraction et l'accepte au cas où celle-ci se produirait. L'intention doit porter sur tous les éléments constitutifs objectifs de l'infraction. Il y a dol éventuel lorsque l'auteur, qui ne veut pas le résultat dommageable pour lui- 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6</w:t>
      </w:r>
    </w:p>
    <w:p>
      <w:r>
        <w:t>Le verdict de culpabilité correspond à celui requis par le MP en première instance et en appel. En revanche, le montant de l'amende est sensiblement inférieur. Les frais de la procédure de première instance et d'appel, comprenant un émolument de CHF 1'200.-, seront partant mis à la charge du condamné à concurrence des deux tiers, le solde en étant laissé à celle de l'Etat (art. 428 CPP et art. 14 al. 1 let. e du règlement fixant le tarif des frais en matière pénale du 22 décembre 2010 [RTFMP ; RS-GE E 4 10.03]).</w:t>
      </w:r>
    </w:p>
    <w:p>
      <w:r>
        <w:t>* * * * *</w:t>
      </w:r>
    </w:p>
    <w:p>
      <w:r>
        <w:t>- 20/22 - P/19166/2013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