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AARP/63/2012 vom 1. März 2012</w:t>
      </w:r>
    </w:p>
    <w:p>
      <w:r>
        <w:t>GE Cour de justice, 2012-03-01, FR</w:t>
      </w:r>
    </w:p>
    <w:p>
      <w:r>
        <w:rPr>
          <w:b/>
        </w:rPr>
        <w:t xml:space="preserve">Quelle: </w:t>
      </w:r>
      <w:r>
        <w:t>https://mcp.opencaselaw.ch/entscheid/ge_gerichte_AARP_63_2012</w:t>
      </w:r>
    </w:p>
    <w:p>
      <w:r>
        <w:t>FR: GE_GERICHTE AARP/63/2012 du 1 mars 2012</w:t>
      </w:r>
    </w:p>
    <w:p>
      <w:r>
        <w:t>IT: GE_GERICHTE AARP/63/2012 del 1 marzo 2012</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les actes d’appel (art. 404 al. 1 CPP).</w:t>
      </w:r>
    </w:p>
    <w:p>
      <w:r>
        <w:rPr>
          <w:b/>
        </w:rPr>
        <w:t>E. 2</w:t>
      </w:r>
    </w:p>
    <w:p>
      <w:r>
        <w:t>2.1.1. 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Cette interprétation raisonnable doit prendre en compte le degré de probabilité de la</w:t>
      </w:r>
    </w:p>
    <w:p>
      <w:r>
        <w:t>- 10/19 - P/5543/2011 survenance du résultat de l’infraction reprochée, tel qu’il apparaît à la lumière des circonstances et de l’expérience de la vie (ATF 133 IV 1 consid. 4.6 p. 8). Selon la jurisprudence, il y a tentative (art. 22 CP) lorsque l’auteur a réalisé tous les éléments subjectifs de l’infraction et manifesté sa décision de la commettre, alors que les éléments objectifs font, en tout ou en partie, défaut (ATF 131 IV 100 consid. 7.2.1 p. 103 ; ATF 128 IV 18 consid. 3b p. 21). La jurisprudence a affirmé à plusieurs reprises que l’équivalence des deux formes de dol - direct et éventuel - s’appliquait également à la tentative (ATF 137 IV 133 consid. 1.4.2 p. 115 ; ATF 122 IV 246 consid. 3a p. 246). 2.1.2.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arrêt du Tribunal fédéral 6B_926/2009 du 15 décembre 2009 consid. 3.2). Cette condition n’est pas réalisée lorsque l’attaque a cessé ou qu’il n’y a pas encore lieu de s’y attendre (ATF 93 IV 81 p. 83). Une attaque n’est cependant pas achevée aussi longtemps que le risque d’une nouvelle atteinte ou d’une aggravation de celle-ci par l’assaillant reste imminent (ATF 102 IV 1 consid. 2b p. 4s). S’agissant en particulier de la menace d’une attaque imminente contre la vie ou l’intégrité corporelle, celui qui est visé n’a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p. 83s). Par ailleurs, l’acte de celui qui est attaqué ou menacé de l’être doit tendre à la défense : un comportement visant à se venger ou à punir ne relève pas de la légitime défense, pas davantage qu’un comportement qui tend à prévenir une attaque, certes possible, mais encore incertaine (arrêt du Tribunal fédéral 6B_926/2009 du 15 décembre 2009 consid. 3.2). La défense doit apparaître proportionnée au regard de l’ensemble des circonstances. Doivent être examinés la gravité de l’attaque, les biens juridiques menacés par celle-ci et par les moyens de défense, la nature de ces derniers ainsi que l’usage concret qui en a été fait. Les biens juridiquement protégés de part et d’autre doivent également être mis en balance. Encore faut-il que le résultat de cette pesée des dangers en présence soit reconnaissable sans peine par celui qui veut repousser l’attaque, l’expérience enseignant qu’il doit réagir rapidement (ATF 107 IV 12 consid. 3 p. 15 ; ATF 102 IV 65 consid. 2a p. 68).</w:t>
      </w:r>
    </w:p>
    <w:p>
      <w:r>
        <w:t>- 11/19 - P/5543/2011 Si celui qui repousse une attaque a excédé les bornes de la légitime défense, le juge atténue la peine (art. 16 al. 1 CP). L’auteur n’encourt toutefois aucune peine si cet excès provient d’un état excusable d’excitation ou de saisissement causé par l’attaque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 2.2.1. Il est établi que l’appelant X______ a poignardé A______ au niveau du thorax, ce qui résulte tant de ses propres déclarations que du constat de lésions traumatiques du Dr C______ et du témoignage du Dr E______. Il conteste toutefois avoir voulu attenter à la vie de sa victime, qui n’a pas été concrètement mise en danger. Il ressort du dossier que le prévenu a agressé A______ à l’aide d’un couteau pourvu d’une lame de 16 cm de long, le frappant à une reprise au thorax, la lame ayant traversé ses habits, puis la peau, la graisse, le diaphragme et la zone abdominale. Il a agi avec détermination, enfonçant de 13 cm le couteau dans le corps de sa victime. La probabilité de la survenance du résultat était particulièrement élevée, dès lors qu’il l’a frappée à la poitrine, soit un endroit du corps abritant des organes vitaux, avec une lame longue et acérée. Une blessure susceptible d’entraîner la mort ne pouvait apparaître que comme très vraisemblable, ce dont tout citoyen ordinaire devait être conscient. L’appelant X______ a ainsi pris le risque de porter atteinte aux organes vitaux de la victime, ce dont il s’est accommodé. En outre, il a immédiatement quitté les lieux sans s’enquérir de l’état de santé de la victime, ce qui constitue un indice corroboratif tendant à confirmer qu’il n’était pas surpris ou ébranlé par l’acte qu’il venait de commettre et qu’il avait envisagé les conséquences de son geste, les ayant acceptées au cas où elles se produiraient (cf. arrêt du Tribunal fédéral 6B_109/2009 du 9 avril 2009 consid. 2.3.2). Que les blessures infligées n’aient en définitive pas concrètement mis en danger la vie d’A______ n’est ainsi en soi pas décisif, pas davantage que l’appelant X______ n’ait pas souhaité la mort de sa victime, le dol éventuel étant réalisé dès que l’auteur s’accommode du résultat pour le cas où il se produirait, même s’il ne le souhaite pas (cf. arrêt du Tribunal</w:t>
      </w:r>
    </w:p>
    <w:p>
      <w:r>
        <w:t>- 12/19 - P/5543/2011 fédéral 6B_241/2011 du 23 juin 2011 consid. 2.3). Dans ces circonstances, il convient d’admettre que l’appelant X______ s’est au moins nécessairement accommodé du risque de causer la mort de sa victime. 2.2.2. L’appelant X______ allègue que le coup de couteau infligé à A______ l’était en réaction à la bagarre intervenue peu avant et à une nouvelle attaque imminente de ce dernier. Invoquant la thèse de la légitime défense, l’appelant X______ doit au moins la rendre vraisemblable. Bien qu’il ait constamment affirmé avoir eu peur d’A______, s’emparant d’un couteau pour se prémunir d’une nouvelle agression, ses déclarations concernant le déroulement des faits sont entachées de contradictions et n’apparaissent ainsi pas crédibles. Après avoir indiqué à la police et devant le Ministère public qu’à son retour des toilettes, A______ s’était approché de lui, s’empalant sur le couteau qu’il tenait à la main, le bras tendu, il a nuancé ses propos devant le Tribunal correctionnel, affirmant avoir caché l’arme dans sa poche et ne se souvenant pas qui, de lui ou de sa victime, s’était approché, pas davantage que de son geste, avant de soutenir, devant la Chambre de céans, avoir glissé le couteau dans sa poche et s’être assis aux côtés de B______ et d’A______, lequel bougeait beaucoup et était agité. Du reste, il ne ressort pas du dossier que son alcoolémie, jugulée aux coups reçus sur le crâne, eût été de nature à altérer sa mémoire, le Dr D______ ayant souligné que ses souvenirs étaient assez précis. Les déclarations de l’appelant X______ sont contredites tant par celles d’A______ que par celles du témoin B______, qui concordent et sont demeurées constantes durant la procédure. Le fait que ce dernier soit revenu sur sa première déposition à la police ne saurait ôter toute crédibilité à ses déclarations ultérieures, le témoin ayant expliqué qu’il n’avait pas eu l’intention d’incriminer X______, le connaissant depuis plusieurs années. Au demeurant, rien ne permet d’affirmer qu’A______ et B______ se soient entendus sur une version des faits à donner, aucun d’eux n’ayant de bénéfice secondaire à retirer d’un faux témoignage. Ainsi, il ressort de leurs déclarations qu’au retour de l’appelant X______ des toilettes, celui-ci les avait rejoints sur la terrasse. B______ lui avait demandé de partir, le prévenu ayant insisté pour boire encore une bière. Tant A______ que B______ ont soutenu que plusieurs minutes, au moins une dizaine, s’étaient écoulées entre le retour de X______, qui avait déjà passé une dizaine de minutes à l’intérieur du bâtiment, et le coup de couteau. Le calme était revenu et personne ne semblait énervé, pas même X______, de sorte que tous les trois, assis, avaient trinqué. Le prévenu s’était ensuite précipité sur A______. Du reste, aucun d’eux n’a indiqué l’avoir vu muni d’un couteau à un quelconque moment de la journée.</w:t>
      </w:r>
    </w:p>
    <w:p>
      <w:r>
        <w:t>- 13/19 - P/5543/2011 Ces déclarations sont compatibles avec les preuves matérielles figurant au dossier. Ainsi, il résulte tant du constat de lésions traumatiques du Dr C______ que de la déposition du Dr E______ que la lame était dirigée vers le bas, le coup ayant été porté au thorax et la blessure se situant à l’abdomen. La lame ne pouvait ainsi prendre une telle direction descendante si X______ et A______ s’étaient tous deux tenus debout ou si le premier avait été assis et le second debout. De plus, selon le constat de lésions traumatiques du Dr C______, A______ n’avait présenté aucune lésion de défense, ce qui laissait supposer qu’il avait été attaqué par surprise, alors qu’il ne s’y attendait pas. Au vu de ces éléments, il convient d’admettre qu’au moment où X______ a poignardé A______, ce dernier était assis et ne présentait plus aucune menace pour le prévenu, le calme étant revenu entre les parties et plusieurs minutes, au moins dix, s’étaient écoulées entre le retour de l’appelant X______ et le coup de couteau asséné. En agissant de la sorte, ce dernier ne réagissait à aucune attaque de la part d’A______, le fait justificatif de la légitime défense ne pouvant être retenu en sa faveur. Il n’y a ainsi pas lieu d’examiner si les conditions de l’art. 16 CP sont réalisées. Le jugement querellé sera par conséquent confirmé dans la mesure où il reconnaît l’appelant X______ coupable de tentative de meurtre (art. 22 et 111 CP), au moins par dol éventuel (art. 12 CP). L’infraction de lésions corporelles étant absorbée par la tentative de meurtre (cf. ATF 137 IV 113 consid. 1.5 p. 117), la requalification juridique demandée devient sans objet.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faute de l’appelant X______ est lourde. Il s’en est pris à la vie d’A______, soit un bien juridique particulièrement important. Il a fait preuve de détermination et d’acharnement, frappant sa victime par surprise au moyen d’un couteau à désosser pourvu d’une lame de 16 cm de long, enfonçant celle-ci presque entièrement dans son thorax. Ce n’est que par chance qu’il n’a pas obtenu de résultat mortel. Son mobile est vil et relève de la colère ainsi que d’une volonté vengeresse, alors même que sa victime était décidée à tirer un trait sur la bagarre qui les avait opposés. Préférant assouvir sa vengeance, il a refusé de quitter les lieux, faisant croire à sa victime qu’il s’était calmé, cachant en réalité un couteau sur lui. S’il est vrai que</w:t>
      </w:r>
    </w:p>
    <w:p>
      <w:r>
        <w:t>- 14/19 - P/5543/2011 l’infraction qui lui est reprochée n’a été que tentée, son acte n’en est pas pour autant attribuable à un désistement. Il n’a cessé de minimiser ses agissements, se retranchant derrière son alcoolisation, puis les coups qui lui avaient été portés à la tête, se mettant dans une position de victime. Sa collaboration a été médiocre : même confronté aux preuves matérielles recueillies contre lui, il a continué à se réfugier dans le déni, fournissant des versions contradictoires et persistant à alléguer avoir commis un acte de légitime défense. Sa prise de conscience n’est dès lors que partielle. A l’instar des premiers juges, il sera retenu en sa faveur qu’il s’est rendu spontanément à la police quelques jours après les faits. Il n’en demeure pas moins qu’il ne s’est pas préoccupé de l’état de santé d’A______ après l’avoir poignardé, le laissant au sol se vider de son sang et préférant prendre la fuite. Bien qu’ayant allégué éprouver du chagrin pour sa victime, il paraît davantage préoccupé par son incarcération et par les conséquences de sa détention pour sa propre famille. Par ailleurs, il ne peut faire valoir aucune circonstance atténuante au sens de l’art. 48 CP. Au regard de l’ensemble de ces éléments, la peine privative de liberté de quatre ans et six mois fixée par les premiers juges apparaît adéquate. Le jugement entrepris sera dès lors confirmé sur ce point également. Il n’y a ainsi pas lieu d’examiner si les conditions du sursis son réunies (cf. art. 42 et 43 CP).</w:t>
      </w:r>
    </w:p>
    <w:p>
      <w:r>
        <w:rPr>
          <w:b/>
        </w:rPr>
        <w:t>E. 4</w:t>
      </w:r>
    </w:p>
    <w:p>
      <w:r>
        <w:t>L’appelant A______ conclut à la condamnation de X______ au paiement d’une indemnité de CHF 20'000.- à titre de réparation du tort moral.</w:t>
      </w:r>
    </w:p>
    <w:p>
      <w:r>
        <w:rPr>
          <w:b/>
        </w:rPr>
        <w:t>E. 4.1</w:t>
      </w:r>
    </w:p>
    <w:p>
      <w:r>
        <w:t>La partie plaignante peut faire valoir ses conclusions civiles déduites de l’infraction par adhésion à la procédure (art. 122 al. 1 CPP), l’autorité judiciaire saisie de la cause pénale jugeant les conclusions civiles indépendamment de leur valeur litigieuse (art. 124 al. 1 CPP). Aux termes de l’art. 47 du code des obligations du 30 mars 1911 (CO ; RS 220),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Sa détermination relève du pouvoir d’appréciation du</w:t>
      </w:r>
    </w:p>
    <w:p>
      <w:r>
        <w:t>- 15/19 - P/5543/2011 juge et échappe à toute fixation selon les critères mathématiques, de sorte que son évaluation en chiffres ne saurait excéder certaines limites; l’indemnité allouée doit toutefois être équitable (ATF 130 III 699 consid. 5.1 p. 704s). Le juge en proportionnera le montant à la gravité de l’atteinte subie et évitera que la somme accordée n’apparaisse dérisoire à la victime (ATF 125 III 269 consid. 2a p. 273 ; arrêt du Tribunal fédéral 4A_266/2011 du 19 août 2011 consid. 2.1.4).</w:t>
      </w:r>
    </w:p>
    <w:p>
      <w:r>
        <w:rPr>
          <w:b/>
        </w:rPr>
        <w:t>E. 4.2</w:t>
      </w:r>
    </w:p>
    <w:p>
      <w:r>
        <w:t>Au regard de l’atteinte à l’intégrité corporelle subie par l’appelant A______, le seuil de souffrance psychologique dépasse le seuil en-deçà duquel aucune indemnité n’est due, de sorte que le principe d’une indemnisation pour le tort moral enduré lui est acquis. Il reste à en déterminer le montant. L’appelant A______ considère que la somme de CHF 5'000.- allouée par les premiers juges est insuffisante au regard des souffrances endurées. Il n’est pas contesté que l’appelant A______ a subi une blessure au thorax ayant entraîné une cicatrice, à la vision de laquelle il est confronté et qui lui rappelle avoir reçu un coup de couteau. Il n’en demeure pas moins que cette cicatrice est située sur le corps et n’est ainsi pas directement visible. En outre, rien n’indique que sa blessure ne lui permet pas de mener une vie normale. Au contraire, il a de son propre chef admis avoir repris son activité, auprès du même employeur, moins d’un mois après les faits. Bien qu’ayant allégué que sa blessure le faisait souffrir, il n’a étayé ses dires d’aucun certificat attestant d’un suivi médical, ni n’a prétendu suivre un traitement médicamenteux de nature à atténuer ses douleurs. Si l’existence d’un stress post-traumatique est plausible, il ne saurait être aussi important que l’appelant A______ le laisse entendre. Il n’a en effet consulté un spécialiste que près d’une année après les faits, de manière occasionnelle seulement. Il ne saurait par ailleurs justifier cette consultation tardive par la peur de perdre son travail, lui-même ayant indiqué avoir un employeur compréhensif. Enfin, d’éventuelles représailles de X______ sont peu plausibles, au regard du risque de récidive du prévenu, qui n’est pas élevé, comme l’a indiqué le Dr D______. Contrairement à ce qu’ont retenu les premiers juges, il n’apparaît pas que l’appelant A______ ait commis une faute concomitante permettant de réduire l’indemnité pour tort moral octroyée, dans la mesure où il n’existe pas de rapport de causalité adéquate entre la bagarre ayant éclaté entre les deux appelants et le coup de couteau infligé par la suite par X______ à A______. Il y a dès lors lieu d’augmenter l’indemnité allouée par les premiers juges en conséquence.</w:t>
      </w:r>
    </w:p>
    <w:p>
      <w:r>
        <w:t>- 16/19 - P/5543/2011 Ainsi, un montant de CHF 8'000.- prend en compte de manière adéquate les souffrances endurées par l’appelant A______ et les éléments susmentionnés. Le jugement entrepris sera dès lors modifié sur ce point.</w:t>
      </w:r>
    </w:p>
    <w:p>
      <w:r>
        <w:rPr>
          <w:b/>
        </w:rPr>
        <w:t>E. 5</w:t>
      </w:r>
    </w:p>
    <w:p>
      <w:r>
        <w:t>La partie plaignante qui obtient gain de cause peut demander au prévenu une juste indemnité pour les dépenses obligatoires occasionnées par la procédure (art. 433 al. 1 CPP, applicable en appel par le renvoi de l’art. 436 al. 1 CPP). Cette indemnité ne peut être allouée que sur demande, à peine de péremption si elle n’est pas présentée et documentée avant la fin de la procédure (art. 433 al. 2 CPP). L’appelant A______ ayant partiellement obtenu gain de cause, il peut prétendre à la condamnation du prévenu au paiement de ses honoraires d’avocat. Le plaignant ne s’étant toutefois vu allouer qu’une partie de ses conclusions, le prévenu sera condamné à lui verser une juste indemnité à ce titre, correspondant à la moitié des honoraires pour la procédure d’appel, conformément à la facture produite d’un montant total de CHF 2'748.05.</w:t>
      </w:r>
    </w:p>
    <w:p>
      <w:r>
        <w:rPr>
          <w:b/>
        </w:rPr>
        <w:t>E. 6</w:t>
      </w:r>
    </w:p>
    <w:p>
      <w:r>
        <w:t>L’appelant X______, qui succombe intégralement, sera condamné aux trois quarts des frais de la procédure d’appel, tandis que l’appelant A______, qui n’obtient que partiellement gain de cause, sera condamné au quart des frais de la procédure d’appel (art. 428 CPP).</w:t>
      </w:r>
    </w:p>
    <w:p>
      <w:r>
        <w:t>* * * * *</w:t>
      </w:r>
    </w:p>
    <w:p>
      <w:r>
        <w:t>- 17/19 - P/5543/2011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