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AARP/62/2020 vom 17. Februar 2020</w:t>
      </w:r>
    </w:p>
    <w:p>
      <w:r>
        <w:t>GE Cour de justice, 2020-02-17, FR</w:t>
      </w:r>
    </w:p>
    <w:p>
      <w:r>
        <w:rPr>
          <w:b/>
        </w:rPr>
        <w:t xml:space="preserve">Quelle: </w:t>
      </w:r>
      <w:r>
        <w:t>https://mcp.opencaselaw.ch/entscheid/ge_gerichte_AARP_62_2020</w:t>
      </w:r>
    </w:p>
    <w:p>
      <w:r>
        <w:t>FR: GE_GERICHTE AARP/62/2020 du 17 février 2020</w:t>
      </w:r>
    </w:p>
    <w:p>
      <w:r>
        <w:t>IT: GE_GERICHTE AARP/62/2020 del 17 febbraio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w:t>
      </w:r>
    </w:p>
    <w:p>
      <w:r>
        <w:t>- 8/19 - P/6405/2019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2.2.1. Aux termes de l'art. 186 CP, se rend coupable de violation de domicile notamment celui qui, d'une manière illicite et contre la volonté de l'ayant droit, aura pénétré dans une habitation ou un local fermé. La notion de domicile doit être comprise de manière large et vise non seulement les habitations au sens commun, mais également les fabriques, les centres commerciaux et les bâtiments administratifs (ATF 108 IV 33 consid. 5a p. 39). L'auteur doit encore agir de manière illicite. L'illicéité de l'acte implique que l'auteur s'oppose à la volonté de l'ayant droit. Elle fait défaut lorsque ce dernier donne son accord ou si l'auteur est au bénéfice d'un motif justificatif (ATF 83 IV 154 consid. 1 p. 157 ; arrêt du Tribunal fédéral 6B_1130/2017 du 20 février 2018 consid. 2.1).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p. 39 = JdT 1983 IV 76 ; arrêt du Tribunal fédéral 6B_1056/2013 du 20 août 2014 consid. 2.1 ; B. CORBOZ, Les infractions en droit suisse, vol. I, Berne 2010, n. 38 et 39 ad art. 186 CP). Sur le plan subjectif, la violation de domicile est intentionnelle, le dol éventuel étant toutefois suffisant. Non seulement l'auteur doit pénétrer ou rester volontairement, mais il faut encore qu'il veuille ou accepte que ce soit sans droit et contre la volonté de l'ayant droit ou l'injonction de sortir donnée par celui-ci (B. CORBOZ, op. cit., n. 45 ss ad art. 186 CP).</w:t>
      </w:r>
    </w:p>
    <w:p>
      <w:r>
        <w:t>- 9/19 - P/6405/2019 2.2.2.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putatifs ou encore sur un autre élément qui peut avoir pour effet d'atténuer ou d'exclure la peine (ATF 129 IV 257 consid. 2.2.1 p. 259 ; 129 IV 6).</w:t>
      </w:r>
    </w:p>
    <w:p>
      <w:r>
        <w:rPr>
          <w:b/>
        </w:rPr>
        <w:t>E. 2.3</w:t>
      </w:r>
    </w:p>
    <w:p>
      <w:r>
        <w:t>En l'espèce, après avoir initialement admis avoir pénétré le 20 mars 2019 dans le magasin D______ malgré l'interdiction d'entrée de trois ans dont il avait pris connaissance le 12 septembre 2017, l'appelant a indiqué à l'audience de jugement qu'il ignorait faire l'objet d'une telle mesure. Il allègue désormais ne pas avoir compris la teneur ni la portée de ladite interdiction, dès lors qu'elle lui avait été notifiée en français. Les revirements de l'appelant sont de pure circonstance et n'emportent pas la conviction, étant observé qu'il est présumé avoir eu connaissance du document d'interdiction qu'il a accepté de signer. Sa prétendue mauvaise maîtrise de la langue française est tout aussi invraisemblable, d'autant qu'il la parle et l'écrit, de manière certes parfois erronée, mais compréhensible. Par ailleurs, dans la procédure P/2______/2017, il a seulement soutenu, sans jamais évoquer de carence en français, qu'il considérait qu'au moment des faits la précédente interdiction d'entrée, qui lui avait été notifiée le 19 novembre 2015 pour des actes similaires, était échue. Comme le relève par ailleurs le MP, son mépris face à son expulsion, soit à une décision judiciaire, témoigne d'une certaine désinvolture face aux décisions de manière générale. Dans tous les cas, l'appelant a admis être entré dans ledit commerce pour y commettre un vol, pour lequel il a d'ailleurs été condamné et qu'il ne remet pas en cause. Il s'ensuit que l'appelant a pénétré dans le magasin D______ dans un autre but que celui usuel et accepté par le maître des lieux d'achat de marchandise et, par conséquent, contre la volonté de l'ayant droit, ce que l'intéressé ne pouvait ignorer. Le verdict de culpabilité pour le chef d'infraction à l'art. 186 CP sera ainsi confirmé et l'appel rejeté sur ce point.</w:t>
      </w:r>
    </w:p>
    <w:p>
      <w:r>
        <w:rPr>
          <w:b/>
        </w:rPr>
        <w:t>E. 3.1</w:t>
      </w:r>
    </w:p>
    <w:p>
      <w:r>
        <w:t>L'infraction de vol (art. 139 ch. 1 CP) prévoit une peine privative de liberté de cinq au plus ou une peine pécuniaire, alors que celles de violation de domicile</w:t>
      </w:r>
    </w:p>
    <w:p>
      <w:r>
        <w:t>- 10/19 - P/6405/2019 (art. 186 CP) et de rupture de ban (art. 291 al. 1 CP) une peine privative de liberté de trois ans au plus ou une peine pécuniaire.</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3.1.2</w:t>
      </w:r>
    </w:p>
    <w:p>
      <w:r>
        <w:t>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4e éd., Bâle 2019, n. 130 s.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w:t>
      </w:r>
    </w:p>
    <w:p>
      <w:r>
        <w:rPr>
          <w:b/>
        </w:rPr>
        <w:t>E. 3.1.3</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w:t>
      </w:r>
    </w:p>
    <w:p>
      <w:r>
        <w:t>- 11/19 - P/6405/2019 peine pour sanctionner chacune des autres infractions, en tenant là aussi compte de toutes les circonstances y relatives.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313 consid. 1.1.1 ; 144 IV 217 consid. 3.5 ; 127 IV 101 consid. 2b p. 104 ; arrêts du Tribunal fédéral 6B_1216/2017 du 11 juin 2018 consid. 1.1.1 ; 6B_1175/2017 du 11 avril 2018 consid. 2.1 in medio). Cette disposition ne prévoit aucune exception. Le prononcé d'une peine unique dans le sens d'un examen global de tous les délits à juger n'est pas possible (ATF 144 IV 217 consid. 3.5.4 ; 144 IV 313 consid. 1.1.2).</w:t>
      </w:r>
    </w:p>
    <w:p>
      <w:r>
        <w:rPr>
          <w:b/>
        </w:rPr>
        <w:t>E. 3.1.4</w:t>
      </w:r>
    </w:p>
    <w:p>
      <w:r>
        <w:t>Selon l’art. 19 al. 2 CP, le juge atténue la peine si, au moment d’agir, l’auteur ne possédait que partiellement la faculté d’apprécier le caractère illicite de son acte ou de se déterminer d’après cette appréciation. Cette disposition ne lui est cependant pas applicable s’il pouvait éviter la responsabilité restreinte et prévoir l’acte commis en cet état (art. 19 al. 4 CP).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(arrêt du Tribunal fédéral 6B_146/2016 du 22 août 2016 consid. 3.1).</w:t>
      </w:r>
    </w:p>
    <w:p>
      <w:r>
        <w:rPr>
          <w:b/>
        </w:rPr>
        <w:t>E. 3.1.5</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LEI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w:t>
      </w:r>
    </w:p>
    <w:p>
      <w:r>
        <w:t>- 12/19 - P/6405/2019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(ibidem).</w:t>
      </w:r>
    </w:p>
    <w:p>
      <w:r>
        <w:rPr>
          <w:b/>
        </w:rPr>
        <w:t>E. 3.1.6</w:t>
      </w:r>
    </w:p>
    <w:p>
      <w:r>
        <w:t>Selon l’art. 19a ch. 1 LStup, celui qui, sans droit, aura consommé intentionnellement des stupéfiants ou celui qui aura commis une infraction à l'art. 19 pour assurer sa propre consommation est passible de l'amende. Dans les cas bénins, l'autorité compétente pourra suspendre la procédure ou renoncer à infliger une peine et une réprimande peut être prononcée (art. 19a ch. 2 LStup). Pour dire s'il y a cas bénin, il faut prendre en compte l'ensemble des circonstances concrètes, objectives et subjectives (ATF 124 IV 45 consid. 2a ; 124 IV 186 consid. 3a ; 106 IV 78). Des consommations antérieures n'excluent pas par principe le cas bénin (ATF 124 IV 45 consid. 2a et 106 IV 78 consid. d et e). La notion de quantité minime n'est pas contenue dans cette disposition (ATF 124 IV 45 consid. 2a). La persistance à consommer exclut le cas bénin, même pour le haschich (ATF 124 IV 45 consid. 2a ; 124 IV 186 consid. 3). Il ne saurait ainsi être question d'un cas bénin quand quelqu'un consomme régulièrement du haschich et n'a pas l'intention de modifier son comportement (ATF 124 IV 55 consid. 2).</w:t>
      </w:r>
    </w:p>
    <w:p>
      <w:r>
        <w:rPr>
          <w:b/>
        </w:rPr>
        <w:t>E. 3.2</w:t>
      </w:r>
    </w:p>
    <w:p>
      <w:r>
        <w:t>En l'espèce, la faute de l'appelant n'est pas négligeable. Le montant de son butin, certes des parfums exclusivement, est important. Il a non seulement persisté à pénétrer dans un magasin qui lui était interdit, mais aussi à demeurer en Suisse sans pièce d'identité et malgré la mesure d'expulsion prononcée contre lui. Il a agi par appât d'un gain facile et par convenance personnelle au mépris des lois en vigueur. Même si la précarité de la situation personnelle de l'appelant explique, en partie, ses agissements, elle ne saurait les justifier, étant relevé que son absence totale de liens</w:t>
      </w:r>
    </w:p>
    <w:p>
      <w:r>
        <w:t>- 13/19 - P/6405/2019 avec la Suisse et ses possibilités alléguées de travail à l'étranger rendent encore moins compréhensible son insistance à rester en toute illégalité dans ce pays. Sa collaboration est moyenne, le fait d'admettre le vol attesté par vidéosurveillance mais nier la violation de domicile, ne relevant pas d'une bonne collaboration.</w:t>
      </w:r>
    </w:p>
    <w:p>
      <w:r>
        <w:t>Ses antécédents sont particulièrement nombreux et spécifiques. Sa prise de conscience est nulle et sa volonté de "changer de vie", comme déjà prétendu dans la P/2______/2017, de pure circonstance. A peine sorti du centre de détention administrative E______, il a récidivé. Il y a concours d'infractions, ce qui commande une augmentation de la peine dans une juste proportion et exclut l'application de la Directive sur le retour (arrêt du Tribunal fédéral 6B_320/2013 du 29 août 2013 consid. 3.2). L'examen du casier judiciaire de l'appelant conduit cependant à constater que celui-ci a globalement déjà purgé plus d'un an de détention pour séjour illégal depuis sa dernière entrée en Suisse, soit depuis le 10 novembre 2010. Par conséquent, le plafond fixé par la jurisprudence est désormais atteint et l'appelant ne peut être sanctionné que d'une peine nulle pour l'infraction de séjour illégal. Aucune des circonstances atténuantes de l'art. 48 CP n'est réalisée ni d'ailleurs plaidée. Il ne ressort pas du dossier, en particulier des images de vidéosurveillance que le prévenu présentait des signes d’ébriété. Dans tous les cas, une diminution de sa responsabilité paraît douteuse. A le suivre, il se serait en effet volontairement alcoolisé et ne pouvait que se douter que boire de cette manière lui ferait perdre le contrôle de ses actes, étant rappelé ses antécédents de vols et violations de domicile. Au vu de ce qui précède, c'est une peine privative de liberté de six mois qui devrait sanctionner le vol, le genre de peine n'étant, à juste titre, pas contesté par l'appelant. Elle doit être aggravée, en tenant compte des règles sur le concours, de trois mois pour la rupture de ban (peine hypothétique de six mois) et de deux mois pour la violation de domicile (peine hypothétique de trois mois). La détention avant jugement sera imputée (art. 51 CP). L'appel sera donc partiellement admis et le jugement entrepris réformé sur ce point. Le pronostic à émettre sur le comportement futur de l'appelant étant particulièrement défavorable, la question du sursis n'entre pas en ligne de compte, ce qu'il ne conteste pas. S'agissant de l'amende, la consommation régulière de marijuana a toujours été admise par l’appelant, comme en témoignent également ses multiples antécédents. Il</w:t>
      </w:r>
    </w:p>
    <w:p>
      <w:r>
        <w:t>- 14/19 - P/6405/2019 n'a par ailleurs jamais indiqué qu’il entendait y mettre fin, ce qui suffit à exclure le cas bénin. En tout état, l'amende de CHF 300.- prononcée par le premier juge paraît conforme au droit et à la situation personnelle de l'appelant de sorte qu'elle sera confirmée.</w:t>
      </w:r>
    </w:p>
    <w:p>
      <w:r>
        <w:rPr>
          <w:b/>
        </w:rPr>
        <w:t>E. 4</w:t>
      </w:r>
    </w:p>
    <w:p>
      <w:r>
        <w:t>4.1.1. Dans un arrêt 6B_1221/2018 du 27 septembre 2019 destiné à la publication, le Tribunal fédéral retient qu'il faut procéder à une interprétation de l'art 66a let. d CP conforme à la Cst. L'art. 121 Cst prévoit l'expulsion obligatoire en cas de "vol avec effraction", ce que le législateur a traduit à l'art. 66a let. d CP par vol avec violation de domicile, le CP ne connaissant pas la figure du "vol avec effraction". Il faut ainsi retenir que celui qui commet un vol dans un commerce en commettant une violation de domicile parce qu'il fait l'objet d'une interdiction d'entrée dans ce commerce, ne commet pas une infraction du catalogue de l'art. 66a CP. En effet, une telle violation de domicile, qui contrevient à une interdiction d'entrée sous seing privé, ne constitue pas une infraction de "vol avec effraction" et ne doit donc pas entraîner une expulsion obligatoire. 4.1.2. Conformément à l'art. 66abis CP, le juge peut expulser un étranger du territoire suisse pour une durée de trois à quinze ans si, pour un crime ou un délit non visé à l'art. 66a CP,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w:t>
      </w:r>
    </w:p>
    <w:p>
      <w:r>
        <w:t>- 15/19 - P/6405/2019 Concernant le premier volet, le juge doit se demander, si l'expulsion facultative est de nature à empêcher la commission de nouvelles infractions en Suisse (G. FIOLKA / L. VETTERLI, op. cit., p. 84 ; AARP/179/2017 du 30 mai 2017 consid. 3.1.2). A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p. 166 ; M. BUSSLINGER / P. UEBERSAX, op. cit., p. 97 et 103 ; K. KÜMIN, op. cit., p. 14 ; AARP/185/2017 du 2 juin 2017 consid. 2.2).</w:t>
      </w:r>
    </w:p>
    <w:p>
      <w:r>
        <w:rPr>
          <w:b/>
        </w:rPr>
        <w:t>E. 4.2</w:t>
      </w:r>
    </w:p>
    <w:p>
      <w:r>
        <w:t>En l'espèce, compte tenu de la récente jurisprudence claire à ce propos, seule se pose la question d'une expulsion facultative (art. 66abis CP).</w:t>
      </w:r>
    </w:p>
    <w:p>
      <w:r>
        <w:t>L'appelant, bien qu'arrivé en Suisse en 2005, y compte plus de 20 condamnations depuis 2009 seulement. L'intérêt public à son éloignement est ainsi patent. Il ne démontre aucune source de revenu légal en Suisse, pays duquel il fait déjà l'objet d'une mesure d'expulsion obligatoire. Il ne peut faire état d'aucune intégration, se trouve sans domicile fixe et n'a pas de famille ou amis proches qui résideraient sur le territoire helvétique. Il ne présente ainsi aucun intérêt personnel prépondérant à opposer à son expulsion. En particulier, ladite expulsion ne rend pas impossible la mise en place d'un traitement pour ses problèmes au poignet, du moins il ne le prétend ni a fortiori ne le démontre pas. Par ailleurs, sa présence en Suisse n'a pas paru particulièrement l'inciter à se faire opérer puisqu'il y avait, dans un premier temps, renoncé avant de changer d'avis puis d'annuler au dernier moment l'opération prévue le 14 février 2019, sans motif valable. Ainsi, son expulsion de Suisse pour une durée de dix ans, qui s'avère proportionnée dans le cas d'espèce, compte tenu dans l’ancrage de l’appelant dans la délinquance, sera confirmée par substitution de motifs.</w:t>
      </w:r>
    </w:p>
    <w:p>
      <w:r>
        <w:rPr>
          <w:b/>
        </w:rPr>
        <w:t>E. 5</w:t>
      </w:r>
    </w:p>
    <w:p>
      <w:r>
        <w:t>Les motifs ayant conduit le premier juge à prononcer, par ordonnance séparée du 15 août 2018, le maintien de l'appelant, en détention pour des motifs de sûreté sont toujours d'actualité, ce que celui-ci ne conteste au demeurant pas, de sorte que la mesure sera reconduite mutatis mutandis (ATF 139 IV 277 consid. 2.2 à 2.3). Le prévenu aura purgé sa peine le 22 mars 2020. Dès lors, sa détention pour des motifs de sûreté sera ordonnée jusqu'au 28 février 2020 afin de permettre l'exécution de l'expulsion (ATF 143 IV 168).</w:t>
      </w:r>
    </w:p>
    <w:p>
      <w:r>
        <w:t>- 16/19 - P/6405/2019</w:t>
      </w:r>
    </w:p>
    <w:p>
      <w:r>
        <w:rPr>
          <w:b/>
        </w:rPr>
        <w:t>E. 6.1</w:t>
      </w:r>
    </w:p>
    <w:p>
      <w:r>
        <w:t>L'appelant, qui obtient gain de cause partiellement, supportera deux tiers des frais de la procédure d'appel (art. 428 CPP), compte tenu de la diminution de peine prononcée à son encontre. Les frais en appel comprennent un émolument de décision de CHF 1'500.-.</w:t>
      </w:r>
    </w:p>
    <w:p>
      <w:r>
        <w:rPr>
          <w:b/>
        </w:rPr>
        <w:t>E. 6.2</w:t>
      </w:r>
    </w:p>
    <w:p>
      <w:r>
        <w:t>La répartition des frais de la procédure de première demeurera inchangée compte tenu de la confirmation du verdict de culpabilité à son égard.</w:t>
      </w:r>
    </w:p>
    <w:p>
      <w:r>
        <w:rPr>
          <w:b/>
        </w:rPr>
        <w:t>E. 7.1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l’occurrence, considéré globalement l’état de frais produit par le conseil de l’appelant paraît adéquat et conforme aux dispositions et principes qui précèdent, de sorte qu’il sera admis sans qu’il soit nécessaire d’en reprendre le détail.</w:t>
      </w:r>
    </w:p>
    <w:p>
      <w:r>
        <w:t>En conclusion, l'indemnité sera arrêtée à CHF 1'749.-, correspondant à 2h00 d'activité au tarif de CHF 200.-/heure et 8h40 à celui de CHF 110.-/heure, plus la majoration forfaitaire de 20% [CHF 270.70] et l'équivalent de la TVA au taux de 7.7% [CHF 125.-]. * * * * *</w:t>
      </w:r>
    </w:p>
    <w:p>
      <w:r>
        <w:t>- 17/19 - P/6405/2019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