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AARP/62/2016 vom 12. Februar 2016</w:t>
      </w:r>
    </w:p>
    <w:p>
      <w:r>
        <w:t>GE Cour de justice, 2016-02-12, FR</w:t>
      </w:r>
    </w:p>
    <w:p>
      <w:r>
        <w:rPr>
          <w:b/>
        </w:rPr>
        <w:t xml:space="preserve">Quelle: </w:t>
      </w:r>
      <w:r>
        <w:t>https://mcp.opencaselaw.ch/entscheid/ge_gerichte_AARP_62_2016</w:t>
      </w:r>
    </w:p>
    <w:p>
      <w:r>
        <w:t>FR: GE_GERICHTE AARP/62/2016 du 12 février 2016</w:t>
      </w:r>
    </w:p>
    <w:p>
      <w:r>
        <w:t>IT: GE_GERICHTE AARP/62/2016 del 12 febbraio 2016</w:t>
      </w:r>
    </w:p>
    <w:p>
      <w:pPr>
        <w:pStyle w:val="Heading2"/>
      </w:pPr>
      <w:r>
        <w:t>Erwägungen</w:t>
      </w:r>
    </w:p>
    <w:p>
      <w:r>
        <w:rPr>
          <w:b/>
        </w:rPr>
        <w:t>E. 1</w:t>
      </w:r>
    </w:p>
    <w:p>
      <w:r>
        <w:t>La demande de révision a été formée devant l'autorité compétente et selon la forme prévue par la loi et n'est soumise à aucun délai particulier, sauf dans les cas visés à l'art. 410 al. 1 let b et al. 2 du Code de procédure pénale suisse du 5 octobre 2007 (CPP ; RS 312.0), qui n'entrent pas en ligne de compte en l'occurrence (art. 411 al. 1 et 2 dernière phrase CPP).</w:t>
      </w:r>
    </w:p>
    <w:p>
      <w:r>
        <w:rPr>
          <w:b/>
        </w:rPr>
        <w:t>E. 2</w:t>
      </w:r>
    </w:p>
    <w:p>
      <w:r>
        <w:t>2.1.1. La demande en révision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w:t>
      </w:r>
    </w:p>
    <w:p>
      <w:r>
        <w:t>Cette disposition reprend la double exigence posée par l'art. 385 du Code pénal suisse du 21 décembre 1937 (CP ; RS 311.0),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mais non pas lorsque celui-ci, l'ayant examiné, n'en a pas tiré les déductions</w:t>
      </w:r>
    </w:p>
    <w:p>
      <w:r>
        <w:t>- 4/7 - P/20563/2015 qu'il fallait ou n'a pas pris conscience de ce que le moyen de preuve devait démontrer. Il ne suffit dès lors pas de dire que le juge a sous-estimé l'importance d'un moyen de preuve, notamment par comparaison avec d'autres, ou qu'il en a mal compris le sens et la portée ; ces critiques s'attachent en effet à l'appréciation des preuves, et ne touchent pas la nouveauté du moyen de preuve. Pour que l'on puisse se convaincre qu'un élément de preuve ressortant du dossier est resté inconnu du juge, il faut tout d'abord que cet élément soit à ce point probant, sur une question décisive, que l'on ne puisse imaginer que le juge aurait statué dans le même sens s'il en avait pris connaissance. S'il y a matière à appréciation et discussion, cela exclut que l'inadvertance soit manifeste. Cette première condition ne suffit cependant pas.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que celui-ci a pris connaissance de toutes les pièces du dossier (arrêt du Tribunal fédéral 6B_319/2014 du 10 novembre 2014 consid. 1.1 et les réf. citées).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Les faits ou moyens de preuve sont sérieux lorsqu'ils sont propres à ébranler les constatations de fait sur lesquelles se fonde la condamnation et que l'état de fait ainsi modifié rend possible un jugement sensiblement plus favorable au condamné (ATF 130 IV 72 consid. 1 p. 73). 2.1.2. Aux termes de l'art. 412 al. 2 CPP, la juridiction d'appel n'entre pas en matière sur la demande de révision si celle-ci est manifestement irrecevable ou non motivée ou si une demande de révision invoquant les mêmes motifs a déjà été rejetée par le passé (arrêt du Tribunal fédéral 6B_793/2014 du 20 janvier 2015 consid. 2.2 et les réf. citées). Une décision formelle sur la recevabilité de la requête de révision ne s'impose toutefois pas nécessairement, la juridiction d'appel pouvant examiner d'emblée le fond de la requête et se borner à admettre implicitement sa recevabilité (N. SCHMID, Schweizerische Strafprozessordnung : Praxiskommentar, 2e éd. 2013, n. 5 ad art. 412). Par ailleurs, la juridiction d'appel peut rendre elle-même une nouvelle décision sur le fond si l'état du dossier le permet, notamment si de nouveaux débats contradictoires ne s'avèrent pas nécessaires (art. 413 al. 2 let. b CPP, G. PIQUEREZ / A. MACALUSO, Procédure pénale suisse, 3e édition, Genève 2011, n. 2109).</w:t>
      </w:r>
    </w:p>
    <w:p>
      <w:r>
        <w:t>- 5/7 - P/20563/2015 2.1.3.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et 6B_310/2011 du 20 juin 2011 consid. 1.3). 2.2.1. En l'espèce, le moyen de preuve offert par le demandeur doit être tenu pour nouveau. À l'évidence, le Service des contraventions, qui connaît d'infractions de masse, ne procède pas à l'examen de toutes les photographies des véhicules surpris en excès de vitesse pour les comparer avec les bases de données de ceux immatriculés afin de vérifier la concordance entre le modèle de véhicule contrôlé et celui auquel la plaque est associée. Partant, la présomption de connaissance du dossier par l'autorité pénale est renversée sur ce point et il doit être retenu que le moyen de preuve dont se prévaut le demandeur était inconnu de cette autorité. S'il est constant que le demandeur ne s'est pas opposé en temps utiles à l'ordonnance pénale querellée, sans être valablement empêché de le faire, on ne saurait considérer que sa seule négligence constitue un motif de refus d'entrée en matière. Tout comme on ne peut reprocher au Service des contraventions de ne pas systématiquement procéder à la vérification sus-évoquée, on ne peut pas non plus exiger des justiciables qu'ils doutent par principe des contraventions notifiées et exigent la délivrance des photographies prise par le radar. Au contraire, la confiance des justiciables en l'autorité rend compréhensible qu'il ne remette pas systématiquement en cause une "simple amende d'ordre". Aussi, on ne saurait qualifier le demandeur de négligent parce qu'il n'a pas eu des doutes et n'a réagi que tardivement. Dans ces conditions, la demande de révision sera jugée recevable. Le dossier étant complet, ce qui n'est d'ailleurs pas contesté, il est loisible à la Chambre de céans de statuer immédiatement sur le fond, toutes les parties ayant eu l'occasion de s'exprimer.</w:t>
      </w:r>
    </w:p>
    <w:p>
      <w:r>
        <w:t>- 6/7 - P/20563/2015 2.2.2. Le demandeur est parvenu à démontrer que le véhicule surpris en excès de vitesse et objet de l'ordonnance querellée n'est pas celui dont il est détenteur. Les cités ne le contestent pas et ne soutiennent par ailleurs pas qu'un autre élément permettrait de relier le demandeur audit véhicule. Dans ces conditions, il doit être retenu que l'accusation a échoué à apporter la preuve de la culpabilité du demandeur, alors qu'il lui incombait de le faire. La demande de révision étant ainsi fondée, la Chambre de céans annulera l'ordonnance querellée et acquittera l'intéressé du chef d'infraction à la Loi fédérale sur la circulation routière du 19 décembre 1958 (LCR ; RS 741.01).</w:t>
      </w:r>
    </w:p>
    <w:p>
      <w:r>
        <w:rPr>
          <w:b/>
        </w:rPr>
        <w:t>E. 3</w:t>
      </w:r>
    </w:p>
    <w:p>
      <w:r>
        <w:t>La demande en révision étant admise, l'État devra rembourser à son auteur le montant de l'amende d'ordre d'un montant de CHF 40.- (art. 415 al. 2 CPP).</w:t>
      </w:r>
    </w:p>
    <w:p>
      <w:r>
        <w:rPr>
          <w:b/>
        </w:rPr>
        <w:t>E. 4</w:t>
      </w:r>
    </w:p>
    <w:p>
      <w:r>
        <w:t>4.1.1. Selon l'art. 428 al. 1 CPP, applicable en l'absence de lex specialis, (F. RIKLIN, StPO Kommentar : Schweizerische Strafprozessordnung mit JStPO, StBOG und weiteren Erlassen, 2e éd., Zurich 2014, n. 5 ad art. 428), les frais de la procédure de recours (Rechtsmittel) sont mis à la charge des parties dans la mesure où elles obtiennent gain de cause ou succombent.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 juridiction d'appel, dans le cas où elle admet la recevabilité d'une demande en révision et rend elle-même une nouvelle décision (art. 413 al. 2 let. b CPP), est tenue de se prononcer sur les frais de la première procédure selon son pouvoir d'appréciation (art. 428 al. 5 CPP).</w:t>
      </w:r>
    </w:p>
    <w:p>
      <w:r>
        <w:t>4.1.2. Compte tenu de l'issue de la procédure, il convient de laisser à la charge de l'État les frais de la procédure de contravention et, par conséquent, de restituer ceux payés par le demandeur par CHF 100.-. La demande de révision ayant été admise, il ne sera pas perçu de frais dès lors qu'il ne saurait être reproché au demandeur un comportement abusif (cf. consid. 2.2.1. supra). * * * * *</w:t>
      </w:r>
    </w:p>
    <w:p>
      <w:r>
        <w:t>- 7/7 - P/20563/2015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