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AARP/60/2016 vom 8. Februar 2016</w:t>
      </w:r>
    </w:p>
    <w:p>
      <w:r>
        <w:t>GE Cour de justice, 2016-02-08, FR</w:t>
      </w:r>
    </w:p>
    <w:p>
      <w:r>
        <w:rPr>
          <w:b/>
        </w:rPr>
        <w:t xml:space="preserve">Quelle: </w:t>
      </w:r>
      <w:r>
        <w:t>https://mcp.opencaselaw.ch/entscheid/ge_gerichte_AARP_60_2016</w:t>
      </w:r>
    </w:p>
    <w:p>
      <w:r>
        <w:t>FR: GE_GERICHTE AARP/60/2016 du 8 février 2016</w:t>
      </w:r>
    </w:p>
    <w:p>
      <w:r>
        <w:t>IT: GE_GERICHTE AARP/60/2016 del 8 febbraio 2016</w:t>
      </w:r>
    </w:p>
    <w:p>
      <w:pPr>
        <w:pStyle w:val="Heading2"/>
      </w:pPr>
      <w:r>
        <w:t>Erwägungen</w:t>
      </w:r>
    </w:p>
    <w:p>
      <w:r>
        <w:rPr>
          <w:b/>
        </w:rPr>
        <w:t>E. 1.1</w:t>
      </w:r>
    </w:p>
    <w:p>
      <w:r>
        <w:t>L'appel principal est recevable pour avoir été interjeté et motivé selon la forme et dans les délais prescrits (art. 398 et 399).</w:t>
      </w:r>
    </w:p>
    <w:p>
      <w:r>
        <w:t>1.2.1. L'art. 407 al. 1 let. a CPP prescrit que l'appel ou l'appel joint est réputé retiré si la partie qui l'a déclaré (prévenu, Ministère public partie plaignante) fait défaut aux débats d'appel sans excuse valable et ne se fait pas représenter. Les normes relatives à la procédure d'appel ne définissent pas ce qu'il faut entendre par une "excuse valable". Conformément à l'art. 94 al. 1 CPP, dont on peut s'inspirer, une partie peut demander la restitution du délai si elle a été empêchée de l'observer et qu'elle est de ce fait exposée à un préjudice important et irréparable. Elle doit</w:t>
      </w:r>
    </w:p>
    <w:p>
      <w:r>
        <w:t>- 13/24 - P/6718/2013 toutefois rendre vraisemblable que le défaut n'est imputable "à aucune faute de sa part". Un empêchement subjectif suffit. La jurisprudence admet que cette norme permet à l'opposant défaillant de demander la restitution du terme de comparution (arrêt 6B_360/2013 du 3 octobre 2013, consid. 3.3). Il en va de même pour l'appelant qui annonce son absence et demande le renvoi avant les débats (arrêt du Tribunal fédéral 6B_894/2014 du 25 mars 2015 consid. 1.3). 1.2.2. En l'espèce, le certificat médical produit par l'intimée, peu clair au demeurant, atteste exclusivement de son incapacité de travail sans qu'il ne soit établi qu'elle n'était pas en mesure de se déplacer et de comparaître à l'audience en question. L'intimée a fait défaut à l'audience sans excuse valable, de sorte que son appel joint est réputé retiré en application de l'art. 407 al. 1 let. a CPP. Au demeurant, l'appel joint avait bien peu de chance d'aboutir, l'intimée n'établissant pas en quoi elle aurait subi une quelconque souffrance morale, de sorte que les conditions de l'art. 49 de la loi fédérale du 30 mars 1911, complétant le Code civil suisse (CO, Code des obligations ; RS 220) ne paraissent guère réalisées.</w:t>
      </w:r>
    </w:p>
    <w:p>
      <w:r>
        <w:rPr>
          <w:b/>
        </w:rPr>
        <w:t>E. 1.3</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w:t>
      </w:r>
    </w:p>
    <w:p>
      <w:r>
        <w:t>- 14/24 - P/6718/2013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ATF 124 IV 86 consid. 2a).</w:t>
      </w:r>
    </w:p>
    <w:p>
      <w:r>
        <w:t>2.2.1. Se rend coupable de contrainte selon l'art. 181 CP celui qui, en menaçant une personne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p. 128) ni que l'auteur ait réellement la volonté de réaliser sa menace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JdT 2012 IV 279 ; ATF 134 IV 216 consid. 4.2 ; ATF 119 IV 301 consid. 2a).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JdT 2012 IV 279 ; ATF 134 IV 216 consid. 4.1 ; ATF 120 IV 17 consid. 2a/bb).</w:t>
      </w:r>
    </w:p>
    <w:p>
      <w:r>
        <w:t>- 15/24 - P/6718/2013 Sur le plan subjectif, il faut que l'auteur ait agi intentionnellement, c'est-à-dire qu'il ait voulu contraindre la victime à adopter le comportement visé en étant conscient de l'illicéité de son comportement ; le dol éventuel suffit (ATF 120 IV 17 consid. 2c). La contrainte est une infraction de résultat. Lorsque la victime ne se laisse pas intimider et n'adopte pas le comportement voulu par l'auteur, ce dernier est punissable de tentative de contrainte (art. 22 al. 1 CP ; ATF 129 IV 262 ; ATF 106 IV 125 consid. 2b). 2.2.2. Le bien juridiquement protégé par l'art. 181 CP est la liberté d'action, plus particulièrement la libre formation et le libre exercice de la volonté. Faire notifier un commandement de payer lorsqu'on est fondé à réclamer une telle somme est licite. L'Office des poursuites n'a toutefois pas le pouvoir d'examiner le bien-fondé de la créance alléguée par le créancier poursuivant.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Ainsi, le créancier abuse manifestement de son droit en poursuivant le débiteur lorsqu'il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Utiliser la notification d'un commandement de payer comme moyen de pression pour dissuader la personne visée d'agir correctement dans sa profession est clairement abusif, donc illicite (ATF 115 III 18 consid. 3 = SJ 1989 I 400 ; arrêts du Tribunal fédéral 6B_750/2014 du 7 août 2015 consid. 1.1.2 et 6S.853/2000 du 9 mai 2001 consid. 4c , S. MARCHAND, Précis de droit des poursuites, 2ème éd., 2013, p. 53 s.). 2.3.1. Le bail peut être conclu pour une durée déterminée ou indéterminée (art. 255 al. 1 CO). Il est de durée déterminée lorsqu'il doit prendre fin, sans congé, à l'expiration de la durée convenue (art. 255 al. 2 CO et 266 al. 1 CO). Les parties ont la possibilité de résilier de manière anticipée un bail de durée déterminée (F. BOHNET/M. MONTINI, Droit du bail à loyer, 2010, n. 7 ad art. 255 CO ; D. LACHAT, Le bail à loyer, Lausanne 2008 p. 604).</w:t>
      </w:r>
    </w:p>
    <w:p>
      <w:r>
        <w:t>- 16/24 - P/6718/2013 2.3.2. Lorsque le locataire restitue la chose sans observer les délais ou termes de congé, il n’est libéré de ses obligations envers le bailleur que s’il lui présente un nouveau locataire qui soit solvable et que le bailleur ne puisse raisonnablement refuser (art. 264 al. 1 CO). Lorsque le locataire sortant n'est pas libéré en application de l'article 264 al. 1 CO, la loi retient le principe général de l'exécution conforme du contrat (art. 264 al. 2 CO). En effet, le locataire sortant qui ne parvient pas à trouver un candidat de remplacement doit, en principe, s'acquitter du loyer jusqu'au terme du contrat (P. BURKHALTER/E. MARTINEZ-FAVRE, Commentaire SVIT du droit du bail, Lausanne 2011, n. 20 ad art. 264 CO ; D. LACHAT, op. cit., p. 619). Conformément au principe général énoncé par l'article 44 CO, applicable par analogie aux effets de la faute contractuelle (art. 99 al. 3 CO), la partie lésée – le bailleur – doit s'efforcer de réduire le dommage, ce qu'exprime l'article 264 al. 3 CO. On attend du bailleur qu'il ne reste pas inactif : il doit lui-même s'efforcer de trouver un locataire de remplacement (arrêt du Tribunal fédéral 4C.171/2005 du 31 août 2005 ; ACJC/389/2007 du 2 avril 2007 ; D. LACHAT, op. cit., p. 619). Dans le cadre de la détermination du dommage et de l'éventuelle part de responsabilité du bailleur, le juge dispose d'un large pouvoir d'appréciation (ACJC/1017/2009 du 7 septembre 2009 et les références citées). 2.3.3. En cas de défaut grave de la chose louée qui exclut ou entrave considérablement l'usage pour lequel la chose a été louée, le locataire peut résilier le bail aux conditions de l'article 259b let. a CO, avec effet immédiat (BOHNET/MONTINI, op. cit., n. 44 ad art. 266g et n. 15 ad art. 259b ; D. LACHAT, op. cit., p. 269 et 713). 2.3.4. Le locataire peut, en vertu de l'article 266g CO, mettre un terme de manière anticipée pour n'importe quelle échéance, mais en respectant le préavis légal de six mois de l'article 266d CO s'agissant d'un local commercial, si pour de justes motifs l'exécution du contrat devient intolérable. Cette disposition est subsidiaire aux autres cas de résiliation anticipée. Les justes motifs de congé doivent exister au moment de la résiliation (ACJC/623/2006 du 12 juin 2006). Ne peuvent constituer de justes motifs que des circonstances d'une gravité exceptionnelle, qui n'étaient pas connues ni prévisibles lors de la conclusion du contrat et qui ne résultent pas d'une faute de la partie qui s'en prévaut. Ces circonstances doivent être si graves qu'elles rendent la poursuite du bail jusqu'à son terme objectivement intolérable ; la perception subjective du caractère intolérable de la poursuite du bail par la partie qui résilie n'est pas pertinente</w:t>
      </w:r>
    </w:p>
    <w:p>
      <w:r>
        <w:t>- 17/24 - P/6718/2013 (ATF 122 III 262 ; arrêt du Tribunal fédéral 4C_35/2006 du 30 mai 2006 ; F. BOHNET/M. MONTINI, op. cit., n. 22-23 ad art. 266g). 2.4.1. Sauf convention ou usage local contraires, le locataire doit payer le loyer et, le cas échéant, les frais accessoires, à la fin de chaque mois, mais au plus tard à l'expiration du bail (art. 257c CO). 2.4.2. Une reconnaissance de dette n'est un titre de mainlevée provisoire que si la créance était exigible le jour du dépôt de la réquisition de poursuite. Un contrat de bail signé est une reconnaissance de dette pour le loyer échu (S. MARCHAND, Précis de droit des poursuites, 2ème éd., 2013, p. 66 s.). Un bail à loyer dénoncé ne vaut plus titre à la mainlevée pour les créances postérieures à l'expiration du contrat (S. MARCHAND, op. cit., p. 67). En revanche, le contrat de bail résilié avant terme par le locataire sans présentation d'un locataire de remplacement constitue un titre de mainlevée pour les loyers postérieurs à la résiliation (ATF 134 III 267 consid. 3). 2.4.3. En l'espèce, il convient d'examiner si l'appelant était fondé à réclamer les montants de CHF 611'325.- et CHF 15'675.-. Les parties étaient liées par un contrat de bail à durée déterminée d'une durée de 10 ans qui, à teneur du dossier, avait été valablement conclu avec effet au 1er novembre 2012. Faute d'avoir allégué un défaut grave ou prouvé de justes motifs, l'intimée ne pouvait a priori pas être libérée de ses obligations contractuelles envers l'appelant et son associé pour le 15 janvier 2013, date de sa "résiliation", si bien qu'elle devait s'acquitter du loyer jusqu'à l'expiration du contrat, sauf à présenter un remplaçant solvable prêt à reprendre son bail aux mêmes conditions, ce qu'elle n'a pas fait. A teneur de ce contrat de bail, le terme d'exigibilité du loyer intervenait le 1er de chaque mois au plus tard et la garantie devait être versée pour le 1er janvier 2013. Par conséquent, à la date d'établissement du commandement de payer portant sur CHF 611'325.-, le 24 janvier 2013, seuls les loyers d'octobre à décembre 2012 et janvier 2013 étaient échus et le montant de la garantie bancaire exigible, loyers dont l'intimée s'est précisément acquittée dans leur intégralité, ce que l'appelant ne conteste pas, à juste titre. La notification du commandement de payer pour CHF 15'675.- ne pose pas de problème, la garantie bancaire étant exigible au 24 janvier 2013. L'appelant ne s'en est pas tenu à la notification d'un commandement de payer de plus de CHF 600'000.- pour des créances de loyers non échues, puisque, tel que cela ressort clairement de son courriel du 9 janvier 2013, il a menacé l'intimée quelques</w:t>
      </w:r>
    </w:p>
    <w:p>
      <w:r>
        <w:t>- 18/24 - P/6718/2013 jours plus tôt en exerçant sur elle une pression psychologique consistant à lui annoncer un dommage futur : la "résiliation" que l'intimée lui avait adressée ne déploierait ses effets "qu'à l'issue du contrat, soit dans environ 10 ans", il n'y avait "pas de place (…) pour une quelconque dénonciation anticipée" et sa proposition de règlement amiable était d'une "rare indécence". Si elle n'acceptait pas sa contre-offre, il agirait "immédiatement" à son encontre, notamment par la voie de poursuites, de saisie sur son salaire auprès de son employeur "qui ne manquera[it] pas d'apprécier", d'actions au fond, de requêtes en mesures provisionnelles et de séquestre. "Plus aucun cadeau" ne lui serait fait et ils iraient "jusqu'au bout, avec toutes les conséquences en résultant pour [elle]. Cela, [il lui] en donn[ait] [s]a parole (…)." Le fait que l'appelant n'ait, cas échéant, pas réellement eu la volonté de réaliser l'ensemble de ces démarches n'est pas déterminant, l'introduction de cette poursuite pour des centaines de milliers de francs étant suffisante à cet égard. Par ces moyens, l'appelant a voulu obliger l'intimée à lui payer, dans un délai déterminé, la somme "extrêmement généreuse" de CHF 20'000.-, devenue CHF 25'000.- par la suite, à titre d'indemnité "pour solde de tout compte". Il n'a pas non plus hésité, ultérieurement, à renchérir en lui annonçant qu'il était sur le point de lui adresser une facture de nettoyage supplémentaire, montant qui serait toutefois inclus dans cette indemnité si elle en acceptait le paiement. Les moyens de contrainte qu'il a utilisé, soit, en particulier, la notification d'un commandement de payer portant sur plus de CHF 600'000.-, montant non exigible pour la majeure partie, respectivement déjà réglé s'agissant des loyers d'octobre à décembre 2012 et janvier 2013, était propre à impressionner une personne de sensibilité moyenne telle que l'intimée. Ce sentiment pouvait en outre être renforcé par la profession d'avocat exercée par l'appelant, qui assurait lui faire une proposition "extrêmement favorable". Le fait que l'intimée soit une personne éduquée et assistée par son époux n'empêche pas que sa sensibilité demeure dans la norme, cela d'autant qu'elle ne s'est précisément pas laissée intimider et n'a pas adopté le comportement voulu par l'appelant. L'appelant a dès lors agi de manière abusive en intentant une poursuite pour des créances de loyers non échues et portant sur plusieurs années à venir. Un tel procédé était abusif, donc illicite. Le fait que l'intimée n'ait pas respecté ses obligations contractuelles envers l'appelant ne justifiait pas ses agissements. S'il entendait contester la validité du congé donné par son locataire, il devait utiliser les voies légales prévues à cet effet, respectivement s'en tenir à des réquisitions de poursuite afférentes à chaque loyer échu.</w:t>
      </w:r>
    </w:p>
    <w:p>
      <w:r>
        <w:t>- 19/24 - P/6718/2013 La conclusion subsidiaire prise par l'appelant dans sa requête de mainlevée provisoire du 24 avril 2013, tendant au paiement de six mois de loyers à concurrence de CHF 31'350.-, n'est pas pertinente, puisqu'elle est postérieure au courriel du 9 janvier 2013 dont la teneur est explicite. Le Juge de Paix l'a d'ailleurs rejetée, les montants étant inexigibles à la date du commandement de payer du 24 janvier 2013. En tout état, le moyen utilisé par l'appelant était clairement disproportionné pour atteindre le but visé. Il sera encore relevé que l'appelant a occupé pour son compte les locaux litigieux depuis le mois de juillet 2013, démontrant ainsi la possibilité de réduire rapidement son dommage (art. 44 al. 1 CO), si bien qu'il aurait dû immédiatement donner contrordres aux poursuites intentées, en particulier à celle couvrant 10 ans de loyers futurs, que ce soit lui ou un tiers qui occupe les locaux, ce qu'il s'est abstenu de faire avant le mois d'octobre 2013, soit six mois après que l'ancien conseil de l'intimée ait souligné l'illicéité de son comportement. Enfin, le comportement de l'appelant ne saurait trouver de justification dans le fait que l'intimée aurait habité en France avant la signature du contrat de bail litigieux, puisqu'elle résidait en Suisse depuis août 2012 et avait l'intention d'y ouvrir un cabinet ______, ce qui démontre qu'elle avait l'intention de s'y établir. Le fait que l'intimée ait eu des actes de défaut de biens à son encontre – honorés depuis lors – n'est pas non plus pertinent à cet égard, puisque les montants en question, de CHF 9'209.45.- et CHF 3'856.759.-, ne sont en aucune mesure comparables en particulier à celui de la poursuite au montant de CHF 611'325.-. Sur le plan subjectif, il est établi que l'appelant, avocat, avait conscience du caractère illicite de ses agissements, à tout le moins par dol éventuel. Il ne saurait se cacher derrière ses prétendues recherches juridiques, C______ ayant déclaré qu'il savait qu'ils n'obtiendraient pas CHF 611'325.-. Le défaut de contrordre à cette poursuite, au plus tard en juillet 2013, démontre que l'appelant avait conscience du caractère infondé de ses prétentions. Le fait qu'il ait, en sus, annoncé à l'intimée "une nouvelle poursuite (…) tous les mois, pour les dix prochaines années" pour le montant du loyer échu illustre encore, si besoin était, sa volonté de faire pression sur elle. L'appelant a sciemment choisi cette voie, pleinement conscient que l'Office des poursuites n'avait pas le pouvoir d'examiner le bien-fondé de sa créance. En tant qu'homme de loi, il ne pouvait ignorer ce qui précède. Ce constat est corroboré par l'absence de procédures au fond pour recouvrer le montant en question, après que ses requêtes de mainlevée provisoires aient été successivement rejetées, nonobstant ses déclarations en ce sens devant le Ministère public. Il semblerait qu'il ait introduit une nouvelle poursuite à l'encontre de l'intimée, pour laquelle il a demandé la mainlevée de l'opposition par requête du</w:t>
      </w:r>
    </w:p>
    <w:p>
      <w:r>
        <w:t>- 20/24 - P/6718/2013</w:t>
      </w:r>
    </w:p>
    <w:p>
      <w:r>
        <w:rPr>
          <w:b/>
        </w:rPr>
        <w:t>E. 6</w:t>
      </w:r>
    </w:p>
    <w:p>
      <w:r>
        <w:t>novembre 2013, portant cette fois sur les loyers alors échus du 1er février au 30 juin 2013, ce qui confirme qu'il savait avoir agi illicitement précédemment. L'infraction de contrainte n'a cependant pas été consommée, l'intimée n'ayant pas cédé à la pression subie. Au vu de ce qui précède, A______ sera reconnu coupable de tentative de contrainte (art. 22 cum 181 CP) et le jugement du Tribunal de police confirmé sur ce point. 2.5.1.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arrêt du Tribunal fédéral 6B_660/2013 du 19 novembre 2013 consid. 2.2). L'art. 47 CP confère un large pouvoir d'appréciation au juge (ATF 136 IV 55 consid. 5.6 ; arrêt du Tribunal fédéral 6B_1249/2014 du 7 septembre 2015 consid. 1.2). 2.5.2. Les principes posés par l'art. 47 CP valent aussi pour le choix entre plusieurs sanctions possibles.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6B_611/2014 du 9 mars 2015 consid. 4.2). La peine pécuniaire constitue la sanction principale dans le domaine de la petite et moyenne criminalité (ATF 134 IV 97 consid. 4.2 ; arrêt du Tribunal fédéral 6B_1249/2014 du 7 septembre 2015 consid. 1.2).</w:t>
      </w:r>
    </w:p>
    <w:p>
      <w:r>
        <w:t>- 21/24 - P/6718/2013 Conformément à l'art. 34 CP, la peine pécuniaire est fixée en jours-amende dont le tribunal fixe le nombre en fonction de la culpabilité de l'auteur (al. 1). Un jour- 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2.5.3. A teneur de l'art. 42 al. 1 CP, je juge suspend en règle générale l'exécution d'une peine pécuniaire de six mois au moins et de deux ans au plus lorsqu'une peine ferme ne paraît pas nécessaire pour détourner l'auteur d'autres crimes ou délits. 2.5.4.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ATF 134 IV 60 consid. 7.3.1).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Des exceptions sont cependant possibles en cas de peines de faible importance, pour éviter que la peine cumulée n'ait qu'une portée symbolique (ATF 135 IV 188 consid. 3.4.4). Le juge prononce alors dans son jugement pour le cas où, de manière fautive, le condamné ne paie pas l'amende, une peine privative de liberté de substitution d'un jour au moins et de trois mois au plus (art. 106 al. 2 CP). 2.5.5. En l'espèce, la faute de A______ n'est pas anodine. Il n'a pas hésité à exercer une pression considérable, à réitérées reprises, sur la partie plaignante, dont par l'emploi d'un procédé illicite, dans l'unique but de la contraindre à s'acquitter d'une somme fixée arbitrairement par ses soins et dont le montant a varié au cours de ses courriels. En procédant de la sorte, l'appelant a clairement détourné de son but légitime un droit accordé à tout justiciable. Il n'a eu aucun égard pour les possibles conséquences de ses actes sur la vie privée et professionnelle de l'intimée.</w:t>
      </w:r>
    </w:p>
    <w:p>
      <w:r>
        <w:t>- 22/24 - P/6718/2013 L'appelant aurait pu éviter de recourir à des moyens de pressions illicites en se limitant à l'usage des voies légales qui lui étaient offertes pour faire valoir ses droits en tant que bailleur. Il ne fait aucun doute qu'il a agi ainsi pour des mobiles égoïstes et par facilité. Il ne peut se prévaloir d'aucune circonstance atténuante, qu'il ne plaide au demeurant pas. Sa collaboration à l'instruction a été mauvaise et il n'a manifestement pas pris conscience du caractère répréhensible de ses actes. 2.5.6. Au vu de ce qui précède, le prononcé d'une peine pécuniaire de 60 jours- amende est adéquat, de même que le montant de CHF 400.- l'unité, en conformité avec la situation personnelle et financière de l'appelant. Le jugement de première instance sera dès lors confirmé sur ces points. 2.6.1. La mise de l'appelant au bénéfice du sursis lui est acquise et est au demeurant conforme aux éléments de la procédure. Le délai d'épreuve fixé à trois ans est de nature à le dissuader de la commission de nouvelles infractions. Le premier jugement sera confirmé sur ce point également. 2.6.2. L'amende de CHF 4'800.- prononcée en sus par le premier juge au titre de sanction immédiate s'avère également justifiée au vu de l'absence par l'appelant de prise de conscience de la gravité des agissements délictueux. Elle doit l'amener à saisir la portée de son comportement. La peine privative de liberté de substitution doit être fixée à 12 jours, eu égard au montant du jour-amende. Le jugement du Tribunal de police sera partant confirmé sur ces points. 3. Les parties, qui succombent, supporteront les frais de la procédure envers l'État, à hauteur de 6/8 pour l'appelant et de 2/8 pour l'appelante jointe, comprenant un émolument de CHF 2'500.- (art. 428 CPP).</w:t>
      </w:r>
    </w:p>
    <w:p>
      <w:r>
        <w:t>* * * * *</w:t>
      </w:r>
    </w:p>
    <w:p>
      <w:r>
        <w:t>- 23/24 - P/6718/2013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