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AARP/60/2014 vom 29. Januar 2014</w:t>
      </w:r>
    </w:p>
    <w:p>
      <w:r>
        <w:t>GE Cour de justice, 2014-01-29, FR</w:t>
      </w:r>
    </w:p>
    <w:p>
      <w:r>
        <w:rPr>
          <w:b/>
        </w:rPr>
        <w:t xml:space="preserve">Quelle: </w:t>
      </w:r>
      <w:r>
        <w:t>https://mcp.opencaselaw.ch/entscheid/ge_gerichte_AARP_60_2014</w:t>
      </w:r>
    </w:p>
    <w:p>
      <w:r>
        <w:t>FR: GE_GERICHTE AARP/60/2014 du 29 janvier 2014</w:t>
      </w:r>
    </w:p>
    <w:p>
      <w:r>
        <w:t>IT: GE_GERICHTE AARP/60/2014 del 29 gennaio 2014</w:t>
      </w:r>
    </w:p>
    <w:p>
      <w:pPr>
        <w:pStyle w:val="Heading2"/>
      </w:pPr>
      <w:r>
        <w:t>Erwägungen</w:t>
      </w:r>
    </w:p>
    <w:p>
      <w:r>
        <w:rPr>
          <w:b/>
        </w:rPr>
        <w:t>E. 1</w:t>
      </w:r>
    </w:p>
    <w:p>
      <w:r>
        <w:t>L'appel est recevable pour avoir été interjeté et motivé selon la forme et dans les délais prescrits (art. 398 et 399 CPP ; ATF 138 IV 157 consid. 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- 12/21 - P/12209/2011</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l'espèce, ainsi qu'il a été retenu dans l'ordonnance présidentielle du 6 novembre 2013, dont la Chambre de céans in corpore fait siens les considérants, il n'y a pas lieu d'interpeller KLM Royal DUTCH et EASYJET afin d'obtenir la confirmation que l'appelant a bien embarqué sur les vols aller Genève-Amsterdam le 21 juillet 2011 et retour le 25 juillet 2011, respectivement sur le vol aller Genève-Londres le 26 août 2011 à 20h52 et le vol retour le 31 août 2011 partant de Londres à 7h15. En effet, non seulement l'appelant, qui a déjà produit diverses pièces à ce sujet (pièces 1085, 1140 et annexes au courrier de Me Jean-Pierre GARBADE du 28 septembre 2012), aurait été en mesure de recueillir lui-même ces informations mais, en outre, aucun de ces voyages à l'étranger ne couvre intégralement l'une ou l'autre des périodes pénales retenues dans l'acte d'accusation. Il n'est également pas nécessaire ni utile d'entendre la locataire de la villa, AR______, ou le maître d'œuvre des travaux, soit la société AT______, soit pour elle AS______, pour connaître la date exacte à laquelle le tag litigieux a été apposé. En effet, d'une part, il n'est pas possible de retenir que c'est l'une ou l'autre de ces personnes qui a informé AQ______ de l'existence du tag litigieux, le dernier nommé ayant notamment évoqué la possibilité que ce soit l'architecte qui lui ait transmis l'information précitée. D'autre part, avec l'écoulement du temps, il apparaît exclu qu'elles puissent se rappeler</w:t>
      </w:r>
    </w:p>
    <w:p>
      <w:r>
        <w:t>- 13/21 - P/12209/2011 à quelle date le tag en cause a été constaté, plusieurs parties plaignantes entendues en première instance n'ayant pu que confirmer les périodes mentionnées dans leur plainte. Il n'y a pas non plus lieu d'ordonner une nouvelle audition de AK______. En effet, après avoir été interrogé par la police, il a été entendu par le Ministère public en présence du prévenu et de son conseil, qui ont donc pu lui poser toutes les questions nécessaires. En outre, lors de l'audience d'instruction du 8 mai 2012, un délai au 20 mai 2012 a été imparti aux parties pour présenter d'éventuelles réquisitions de preuve. Si, dans le délai précité, le prévenu a sollicité les auditions de AR______ et de AS______, il n'a, en revanche, pas demandé à réentendre AK______, renonçant ainsi à lui poser des questions complémentaires.</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w:t>
      </w:r>
    </w:p>
    <w:p>
      <w:r>
        <w:t>- 14/21 - P/12209/2011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3.2</w:t>
      </w:r>
    </w:p>
    <w:p>
      <w:r>
        <w:t>Selon l'art. 144 al. 1 CP, se rend coupable de dommages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Celui qui, contre la volonté de l'ayant-droit, met de la peinture avec un pinceau ou avec un spray sur un mur, que celui-ci soit vierge ou déjà couvert de spray, réalise l'infraction de dommages à la propriété (ATF 120 IV 319 consid. 2).</w:t>
      </w:r>
    </w:p>
    <w:p>
      <w:r>
        <w:t>- 15/21 - P/12209/2011 3.3.1. En l'espèce, comme l'a relevé le premier juge, il existe un faisceau d'indices convergents permettant de retenir que l'appelant a réalisé les graffitis "oiseau-Aladin", "BAD"/simple, "ROZINE" et "DEVIL". Tout d'abord, la perquisition effectuée au domicile de l'appelant a permis la saisie de douze sprays et d'un feutre, objets permettant la réalisation des tags en question. Ensuite, figurent au dossier les déclarations d'AK______, également tagueur. A la police, ce témoin a affirmé que l'appelant était l'auteur de "l'oiseau-Aladin" et des "BAD" et qu'il avait notamment vu "l'oiseau-Aladin" dessiné sur la porte de sa chambre. Ces déclarations correspondent en substance aux aveux de l'appelant, qui a admis, à la police, avoir indiqué à AK______ qu'il avait sprayé les "oiseaux-Aladin" et les "BAD" dans la rue, prétendant toutefois ensuite l'avoir fait pour se rendre intéressant, ce qui n'est pas convaincant. En outre, les explications de l'appelant, faites pour la première fois en appel, selon lesquelles il possédait douze sprays pour décorer chez les particuliers sont de pure circonstance. A cela s'ajoute le fait que les "oiseaux-Aladin", retenus à la charge de l'appelant sous chiffres 1 à 7, 21, 31, 41 et 46 de l'acte d'accusation, sont similaires à ceux dessinés sur les pages A4 retrouvées dans la poubelle de sa chambre. Il en va de même des tags "BAD"/simple, "ROZINE" et "DEVIL", lesquels sont semblables à ceux faisant l'objet des chiffres 1, 9 à 12, 14 et 15, 17, 18, 20 et 24 de l'acte d'accusation. S'agissant du chiffre 1 de l'acte d'accusation, le fait que trois "oiseaux-Aladin" et un "BAD"/simple auraient pu être apposés pendant les dix derniers jours de la minorité de l'appelant n'a aucune incidence dans la mesure où le code pénal et la procédure relative aux adultes sont applicables lorsque plusieurs infractions commises avant et après l'âge de 18 ans doivent être jugées en même temps et que, comme en l'espèce, la procédure a été introduite après la connaissance d'un acte commis après l'âge de 18 ans (cf. art. 3 al. 2 de la Loi fédérale régissant la condition pénale des mineurs du 20 juin 2003 [Droit pénal des mineurs, DPMin ; RS 311.1]). En revanche, contrairement à ce qu'a retenu le premier juge, le constat et les déclarations devant la juridiction de première instance de l'appointé AM______ permettent de douter du fait que l'appelant est bien l'auteur des "BAD"/sophistiqués (chiffres 10, 13, 16, 19, 23, 25 à 28, 36, 37, 40, 44, 47 et 48 à 50 de l'acte d'accusation) et du "KIM" (correspondant au deuxième tag mentionné au chiffre 47 de l'acte d'accusation). En effet, selon le témoin, de tels tags ont été apposés entre le 29 août 2011 à 17h00 et le 30 août 2011 à 14h50 sur l'abribus de l'arrêt AJ______. Pour déterminer la date à laquelle lesdits tags ont été apposés, AM______ a pris en considération l'heure à laquelle il a quitté son service pour la dernière fois et l'heure à laquelle il a constaté les dégâts et pris une photographie. Or, il est établi, à satisfaction de droit, que l'appelant se trouvait à Londres pendant cette période de sorte qu'il ne</w:t>
      </w:r>
    </w:p>
    <w:p>
      <w:r>
        <w:t>- 16/21 - P/12209/2011 peut être l'auteur de ces tags. Même si lesdits graffitis ne font pas partie de ceux qui lui sont reprochés, dans la mesure où une tierce personne a dessiné un tag "BAD"/sophistiqué et le tag "KIM", il existe un doute irréductible sur le fait que l'appelant soit réellement l'auteur de certains, voire de tous les autres tags "BAD"/sophistiqués ainsi que du tag "KIM" retenus à son encontre sous chiffres 10, 13, 16, 19, 23, 25 à 28, 36, 37, 40, 44, 47 et 48 à 50 de l'acte d'accusation, de sorte qu'il doit être acquitté, en application du principe in dubio pro reo s'agissant de ces faits. 3.3.2. En résumé, l'appelant sera reconnu coupable de dommages à la propriété au sens de l'art. 144 al. 1 CP en raison des tags "oiseaux-Aladin" (chiffres 1 à 7, 14 et 15, 21, 31, 41 et 46 de l'acte d'accusation), "BAD"/simple (chiffres 1, 9 à 12, 15, 17 et 24 de l'acte d'accusation) et "DEVIL" (chiffres 18 et 20 de l'acte d'accusation). L'appelant sera acquitté s'agissant des autres faits retenus dans l'acte d'accusation. Il convient donc de modifier le jugement de première instance dans ce sens.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 4.2.1. La faute de l’appelant n'est pas particulièrement légère. Agissant pour un motif égoïste, il a délibérément réalisé des graffitis avec un spray sur des biens appartenant à autrui et cela pendant une période relativement longue, soit pendant douze mois. Ce faisant, il a agi au mépris de la propriété d'autrui et commis des déprédations ayant nécessité l'intervention d'entreprises tierces pour réparer les dégâts.</w:t>
      </w:r>
    </w:p>
    <w:p>
      <w:r>
        <w:t>- 17/21 - P/12209/2011 Le jeune âge de l'appelant ne constitue pas une circonstance atténuante et ne peut être pris en compte dans le cadre ordinaire de la fixation de la peine que dans la mesure où un auteur est immature (arrêt du Tribunal fédéral 6B_198/2013 du 3 juin 2013 consid. 1.3.5), ce qui n'est pas réalisé en l'espèce. Il en va de même de l'absence d'antécédent (ATF 136 IV 1 consid. 2.6.4 p. 3). Il n'y a, par ailleurs, ni diminution de la responsabilité ni circonstances atténuantes. Enfin, l'appelant n'a pas collaboré, ayant persisté à nier les faits. 4.2.2. Le juge de première instance a condamné l'appelant à 180 jours-amende à CHF 30.- le jour en raison de trente-sept chefs d'accusation. L'appelant s'est limité à contester le jugement dans son entier, ne prenant aucune conclusion formelle sur la nature et la quotité de la peine. Au vu de ce qui précède et de l'acquittement partiel prononcé, une peine pécuniaire de 90 jours-amende à CHF 30.- l'unité apparaît adéquate et correspond à la faute de l'intéressé ainsi qu'à sa situation financière. Le jugement entrepris sera donc modifié sur ce point. Le sursis, dont les conditions sont réalisées (cf. art. 42 CP), est acquis à l'appelant en application de l’interdiction de la reformatio in pejus (art. 391 al. 2 CPP). Enfin, vu son caractère dissuasif, l'amende de CHF 500.- sera confirmée, ce d'autant qu'elle est inférieure au cinquième de la peine principale et par conséquent conforme à la pratique en la matière.</w:t>
      </w:r>
    </w:p>
    <w:p>
      <w:r>
        <w:rPr>
          <w:b/>
        </w:rPr>
        <w:t>E. 5.1</w:t>
      </w:r>
    </w:p>
    <w:p>
      <w:r>
        <w:t>Etant donné que l'appelant n'a été que partiellement acquitté, il y a lieu de confirmer la destruction des douze sprays et du marqueur figurant sous chiffre 1 de l'inventaire du 24 août 2011 ainsi que la confiscation des croquis et de la photographie du "BAD"/sophistiqué, prise par la police lors de la perquisition, pièces à conviction figurant sous chiffres 2 et 3 de l'inventaire précité, et leur apport à la procédure.</w:t>
      </w:r>
    </w:p>
    <w:p>
      <w:r>
        <w:rPr>
          <w:b/>
        </w:rPr>
        <w:t>E. 5.2</w:t>
      </w:r>
    </w:p>
    <w:p>
      <w:r>
        <w:t>Pour les mêmes motifs, il y a lieu de rejeter la demande d'indemnisation du tort moral subi en raison des deux jours de détention avant jugement (art. 429 CPP).</w:t>
      </w:r>
    </w:p>
    <w:p>
      <w:r>
        <w:rPr>
          <w:b/>
        </w:rPr>
        <w:t>E. 6.1</w:t>
      </w:r>
    </w:p>
    <w:p>
      <w:r>
        <w:t>A teneur de l'art. 122 al. 1 CPP, la partie plaignante peut faire valoir des conclusions civiles déduites de l'infraction par adhésion à la procédure. Le tribunal statue sur les conclusions civiles présentées lorsqu’il rend un verdict de culpabilité à l’encontre du prévenu (art. 126 al. 1 let. a CPP). Selon l’art. 41 al. 1 de la loi fédérale du 30 mars 1911 complétant le Code civil suisse (CO, Code des obligations ; RS 220), l’auteur d’un acte illicite doit réparer le dommage matériel ainsi causé.</w:t>
      </w:r>
    </w:p>
    <w:p>
      <w:r>
        <w:t>- 18/21 - P/12209/2011</w:t>
      </w:r>
    </w:p>
    <w:p>
      <w:r>
        <w:rPr>
          <w:b/>
        </w:rPr>
        <w:t>E. 6.2</w:t>
      </w:r>
    </w:p>
    <w:p>
      <w:r>
        <w:t>Eu égard au verdict de culpabilité rendu à son encontre, le jugement entrepris sera confirmé en tant qu'il condamne le prévenu à payer à C______, représentant le propriétaire de l'immeuble sis ______ (chiffre 4 de l'acte d'accusation), la somme de CHF 518.40 correspondant aux frais de nettoyage des graffitis "oiseaux-Aladin". En revanche, dans la mesure où l'appelant a été acquitté du chef de dommages à la propriété pour les graffitis "BAD"/sophistiqués, D______, représentant la COMMUNE DE E______, propriétaire de l'immeuble sis ______ (chiffre 36 de l'acte d'accusation) et A______, représentant le propriétaire de l'immeuble sis ______ (chiffre 48 de l'acte d'accusation), seront déboutées de leurs conclusions civiles et le jugement querellé sera modifié en ce sens.</w:t>
      </w:r>
    </w:p>
    <w:p>
      <w:r>
        <w:rPr>
          <w:b/>
        </w:rPr>
        <w:t>E. 7</w:t>
      </w:r>
    </w:p>
    <w:p>
      <w:r>
        <w:t>L’appelant, qui succombe partiellement, supportera la moitié des frais de la procédure d'appel, comprenant dans leur totalité un émolument de CHF 2'000.-, le solde étant laissé à la charge de l’Etat (art. 428 CPP et art. 14 al. 1 let. e du Règlement fixant le tarif des frais en matière pénale ; E 4 10.03). * * * * *</w:t>
      </w:r>
    </w:p>
    <w:p>
      <w:r>
        <w:t>- 19/21 - P/12209/2011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