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AARP/5/2023 vom 20. Dezember 2022</w:t>
      </w:r>
    </w:p>
    <w:p>
      <w:r>
        <w:t>GE Cour de justice, 2022-12-20, FR</w:t>
      </w:r>
    </w:p>
    <w:p>
      <w:r>
        <w:rPr>
          <w:b/>
        </w:rPr>
        <w:t xml:space="preserve">Quelle: </w:t>
      </w:r>
      <w:r>
        <w:t>https://mcp.opencaselaw.ch/entscheid/ge_gerichte_AARP_5_2023</w:t>
      </w:r>
    </w:p>
    <w:p>
      <w:r>
        <w:t>FR: GE_GERICHTE AARP/5/2023 du 20 décembre 2022</w:t>
      </w:r>
    </w:p>
    <w:p>
      <w:r>
        <w:t>IT: GE_GERICHTE AARP/5/2023 del 20 dicembre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L'art. 285 ch. 1 CP punit d'une peine privative de liberté de trois ans au plus ou d'une peine pécuniaire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- 5/11 - P/6109/2021 mesure dans laquelle celui-ci aurait pu éviter la mise en danger ou la lésion, compte tenu de sa situation personnelle et des circonstances extérieures (al. 2). 2.1.3.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141 IV 61 consid. 6.1.2 ; 138 IV 113 consid. 3.4.1). Il doit s'agir de peines de même genre (ATF 142 IV 265 consid. 2.3.2). 2.1.4.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(FF 1999 p. 1871). 2.1.5.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w:t>
      </w:r>
    </w:p>
    <w:p>
      <w:r>
        <w:t>- 6/11 - P/6109/2021 ou du moins incorrect de son acte (ATF 136 IV 41 consid. 1.2.1; arrêts du Tribunal fédéral 6B_533/2019 du 3 juillet 2019 consid. 3.1 ; 6B_130/2016 du 21 novembre 2016 consid. 3.1 ;). Si l'auteur persiste à nier tout comportement incorrect, on doit admettre qu'il ne reconnaît pas, ni n'assume sa faute; l'intérêt public à une condamnation l'emporte donc (arrêts du Tribunal fédéral 6B_533/2019 précité consid. 3.1 ; 6B_558/2009 du 26 octobre 2009 consid. 2.2).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 arrêts du Tribunal fédéral 6B_533/2019 précité consid. 3.1 ; 6B_558/2009 précité consid. 2.1.2). En cas d'infraction contre des intérêts publics, il faut examiner si la réparation suffit ou si l'équité et le besoin de prévention exigent d'autres réactions du droit pénal (ATF 135 IV 12 consid. 3.4.3 ; arrêt du Tribunal fédéral 6B_91/2021 du 30 juin 2021 consid. 1.3.2). Il convient d'éviter de privilégier les auteurs fortunés susceptibles de monnayer leur sanction (ATF 135 IV 12 consid. 3.4.3 ; arrêts du Tribunal fédéral 6B_91/2021 précité consid. 1.3.1 ; 6B_346/2020 du 21 juillet 2020 consid. 2.2). 2.1.6.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la règle dont le juge ne peut s'écarter qu'en présence d'un pronostic défavorable ou hautement incertain (ATF 135 IV 180 consid. 2.1 ; 134 IV 1 consid. 4.2.2).</w:t>
      </w:r>
    </w:p>
    <w:p>
      <w:r>
        <w:t>2.2.1. Les faits, tels que retenus par le premier juge et non contestés par l'appelant, ne sont pas de peu d'importance.</w:t>
      </w:r>
    </w:p>
    <w:p>
      <w:r>
        <w:t>L'appelant a fait preuve de violence, en renversant la table qui a heurté la partie plaignante, alors qu'ils y étaient tous deux attablés, lui causant un hématome à la cuisse droite. Dans un second temps, il a également menacé les gardiens présents de leur "faire du mal". Par ces actes, l'appelant s'en est pris directement à un fonctionnaire, dépositaire de l'autorité au sein du centre de détention, alors que celui-ci tentait de lui expliquer les raisons de son refus. Il ne saurait être suivi lorsqu'il prétend que la blessure causée au fonctionnaire ne serait qu'un "épiphénomène", puisqu'il a clairement renversé la table sur ce dernier et ne pouvait qu'envisager, ainsi qu'il l'admet lui-même, que celle-ci heurte le gardien face à lui. La culpabilité de l'appelant ne saurait ainsi être considérée comme insignifiante, ce d'autant plus qu'il a suivi son geste de menaces verbales.</w:t>
      </w:r>
    </w:p>
    <w:p>
      <w:r>
        <w:t>- 7/11 - P/6109/2021 La blessure subie par la partie plaignante a certes pu guérir spontanément. Il s'agissait néanmoins d'un hématome à la cuisse qui a duré plusieurs jours, allant au- delà d'une simple gêne passagère. Les conséquences de l'acte ne sont pas de peu d'importance, au regard d'autres cas typiques entrant dans la définition de l'art. 285 al. 1 CP, lequel englobe également la commission de simples voies de faits. Vu ces circonstances, la CPAR considère que l'infraction commise par l'appelant n'est pas de peu de gravité au sens de l'art. 52 CP, de sorte qu'il se justifie de sanctionner son comportement. 2.2.2. Les conditions cumulatives de l'art. 53 CP ne sont pas non plus réunies. Les excuses présentées par l'appelant à la partie plaignante n'ont été formulées que lors de l'audience de confrontation devant le MP et seulement après visionnement des images de vidéosurveillance. Il ne ressort pas du dossier que l'appelant se serait excusé auprès de la partie plaignante immédiatement après son acte, ayant, au contraire, menacé verbalement les gardiens venus en renfort, ni lors de son audition à la police. Des excuses ont certes été formulées deux fois lors de la même audience, mais l'appelant n'a pas fait preuve d'autres efforts particuliers et méritoires dans le but de s'amender. Le bon comportement qu'il a eu lors de la suite de sa détention correspond à ce qu'on est en droit d'attendre de tout détenu. Si l'intérêt privé de la partie plaignante, qui n'a pas déposé de conclusions civiles, à voir l'appelant condamné pénalement est relatif, il n'en demeure pas moins que l'art. 285 CP est une disposition protégeant un intérêt collectif et que l'intérêt public à punir ces actes reste prépondérant dans le cas d'espèce, afin de garantir le bon fonctionnement des établissements de détention et plus généralement le respect dû aux détenteurs de l'autorité publique. Partant, l'appelant ne sera pas exempté de peine pour ces motifs. 2.2.3. La quotité de la peine pécuniaire prononcée doit néanmoins être discutée. La faute de l'appelant est de faible intensité. Il s'est agi d'un acte isolé. L'appelant a agi sous le choc de la réception d'une ordonnance pénale et suite à la frustration de ne pas pouvoir contacter un avocat, ce qu'il a ressenti comme une injustice. Il doit néanmoins être possible à tout un chacun de savoir et pouvoir se maîtriser et ces circonstances ne sauraient excuser une atteinte à l'intégrité physique et la formulation de menaces à l'encontre de dépositaires de l'autorité. Sa collaboration a été plutôt bonne, dans la mesure où il a admis l'essentiel des faits, même s'il les a au départ minimisés, tentant de les justifier par sa colère. Les excuses présentées seront prises en compte dans le cadre de la prise de conscience de sa faute, qui peut ainsi être qualifiée de bonne.</w:t>
      </w:r>
    </w:p>
    <w:p>
      <w:r>
        <w:t>- 8/11 - P/6109/2021 Contrairement à ce qui a été retenu en première instance, le prévenu a un antécédent. Les faits objets de la présente procédure ayant été commis avant sa condamnation du 21 mai 2021 par le Tribunal de police de F______ et du G______, une peine complémentaire s'impose, les peines étant de même genre. Si les faits avaient été jugés en même temps, l'infraction à l'art. 285 CP serait objectivement la plus grave, la CPAR considérant, à l'instar du TP, qu'elle mériterait une peine pécuniaire de 30 jours-amende. Cette peine aurait dû être aggravée de 20 jours-amende (peine hypothétique de 40 jours-amende) pour le séjour illégal, lequel a déjà été condamné par les autorités vaudoises. Ainsi, vu la peine précédemment prononcée et entrée en force de 40 jours-amende, la présente peine complémentaire sera fixée à 10 jours-amende. Le jugement de première instance sera modifié en ce sens. Le montant du jour-amende, fixé à CHF 10.- par le TP, tient adéquatement compte de la situation financière précaire de l'appelant. L'octroi du sursis, avec délai d'épreuve de trois ans, est justifié et acquis à l'appelant (art. 391 al. 2 CPP).</w:t>
      </w:r>
    </w:p>
    <w:p>
      <w:r>
        <w:rPr>
          <w:b/>
        </w:rPr>
        <w:t>E. 3</w:t>
      </w:r>
    </w:p>
    <w:p>
      <w:r>
        <w:t>L'appelant n'obtient que très partiellement gain de cause, la peine étant légèrement réduite, en raison d'un motif non plaidé, alors qu'il concluait à son exemption totale. L'appelant succombe ainsi pour l'essentiel, de sorte qu'il sera condamné aux 4/5èmes des frais de la procédure d'appel, le solde étant laissé à la charge de l'Etat (art. 428 CPP). Pour le surplus, il n'y a pas lieu de revoir la répartition des frais de procédure préliminaire et de première instance, la mise à sa charge des frais de première instance et de l'émolument complémentaire de jugement sera également confirmée (art. 426 al. 1 CPP).</w:t>
      </w:r>
    </w:p>
    <w:p>
      <w:r>
        <w:rPr>
          <w:b/>
        </w:rPr>
        <w:t>E. 4</w:t>
      </w:r>
    </w:p>
    <w:p>
      <w:r>
        <w:t>heures et 30 minutes d'activité au tarif de CHF 200.-/heure plus la majoration forfaitaire de 20% et l'équivalent de la TVA au taux de 7.7% en CHF 83.20. * * * * *</w:t>
      </w:r>
    </w:p>
    <w:p>
      <w:r>
        <w:t>- 9/11 - P/6109/2021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