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AARP/59/2026 vom 4. Februar 2026</w:t>
      </w:r>
    </w:p>
    <w:p>
      <w:r>
        <w:t>GE Cour de justice, 2026-02-04, FR</w:t>
      </w:r>
    </w:p>
    <w:p>
      <w:r>
        <w:rPr>
          <w:b/>
        </w:rPr>
        <w:t xml:space="preserve">Quelle: </w:t>
      </w:r>
      <w:r>
        <w:t>https://mcp.opencaselaw.ch/entscheid/ge_gerichte_AARP_59_2026</w:t>
      </w:r>
    </w:p>
    <w:p>
      <w:r>
        <w:t>FR: GE_GERICHTE AARP/59/2026 du 4 février 2026</w:t>
      </w:r>
    </w:p>
    <w:p>
      <w:r>
        <w:t>IT: GE_GERICHTE AARP/59/2026 del 4 febbraio 2026</w:t>
      </w:r>
    </w:p>
    <w:p>
      <w:pPr>
        <w:pStyle w:val="Heading2"/>
      </w:pPr>
      <w:r>
        <w:t>Erwägungen</w:t>
      </w:r>
    </w:p>
    <w:p>
      <w:r>
        <w:rPr>
          <w:b/>
        </w:rPr>
        <w:t>E. 8</w:t>
      </w:r>
    </w:p>
    <w:p>
      <w:r>
        <w:t>octobre 2025 consid. 2.1.1).</w:t>
      </w:r>
    </w:p>
    <w:p>
      <w:r>
        <w:t>- 9/17 - P/13105/2023 2.1.2.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examine, pour chaque infraction commise, la nature de la peine à prononcer (ATF 147 IV 241 consid. 3.2 ; 144 IV 313 consid. 1.1.1).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Pour déterminer le genre de peine devant sanctionner une infraction au regard de l'art. 47 CP, il convient notamment de tenir compte de la culpabilité de l'auteur. Celle-ci doit être appréciée aux côtés de l'adéquation de la peine, de ses effets sur l'auteur et sur sa situation sociale ainsi que de son efficacité du point de vue de la prévention ( ATF 144 IV 313 consid. 1.1.1). 2.1.3. Aux termes de l'art. 49 CP, si, en raison d'un ou de plusieurs actes, l'auteur remplit les conditions de plusieurs peines de même genre, le juge le condamne à la peine de l'infraction la plus grave et l'augmente dans une juste proportion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2.1.4.1.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2.1.4.2. Le juge peut suspendre partiellement l’exécution d’une peine privative de liberté d’un an au moins et de trois ans au plus afin de tenir compte de façon appropriée de la faute de l’auteur (art. 43 al. 1 CP). 2.1.4.3. Lorsque la durée de la peine privative de liberté se situe entre un et deux ans, permettant donc le choix entre le sursis complet (art. 42 CP) et le sursis partiel (art. 43</w:t>
      </w:r>
    </w:p>
    <w:p>
      <w:r>
        <w:t>- 10/17 - P/13105/2023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134 IV 1 consid. 5.3.1 ; arrêt du Tribunal fédéral 6B_861/2024 du 13 novembre 2025 consid. 7.1.2). 2.1.4.4.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(ATF 135 IV 180 consid. 2.1 ; 134 IV 1 consid. 4.2.1 ; arrêt du Tribunal fédéral 6B_861/2024 du 13 novembre 2025 consid. 7.1.2). 2.2. En l’occurrence, l’intimé n’est pas un délinquant primaire. L’extrait de son casier judiciaire l’atteste. Sa condamnation antérieure pour conduite en état d’ébriété avec un taux d’alcool qualifié, en juin 2020 – dans les dix ans précédant les faits –, relève du catalogue de l’art. 90 al. 3ter LCR ; il s’agit d’un délit routier ayant gravement mis en danger la sécurité d’autrui. Les conditions d’application de l’art. 90 al. 3ter LCR ne sont donc pas réalisées et l’intimé ne saurait être mis au bénéfice de cette circonstance atténuante. La question de savoir si la conduite sans autorisation pour laquelle il a été condamné en novembre 2016 constitue également un délit routier propre à créer un sérieux danger au sens de cette disposition peut rester ouverte. Les conditions d’application de l’art. 90 al. 3bis LCR ne sont pas davantage remplies. Aucune circonstance atténuante au sens de l’art. 48 CP n’est réalisée. La défense n’en cite au demeurant aucune, se contentant de renvoyer au texte légal, qui réserve expressément le mobile honorable. Or les conditions du mobile honorable font défaut. Venir en aide à sa mère, en proie à des douleurs cardiaques, est certes digne d’attention. La manière d’agir n’en heurte pas moins. L’intimé ne pouvait exclure qu’il pût s’agir d’une simple « frayeur » sans conséquence, ce qui a été avéré. Aussi la légèreté de sa</w:t>
      </w:r>
    </w:p>
    <w:p>
      <w:r>
        <w:t>- 11/17 - P/13105/2023 décision, au regard de l’acceptation de courir un grand risque d’accident pouvant entraîner de graves blessures, voire la mort, rejette-t-elle dans l'ombre un éventuel mobile honorable. Par conséquent, la Cour se considère liée par la peine-menace de l’art. 90 al. 3 LCR, tant par le genre de peine prévu par cette disposition (peine privative de liberté) que par son plancher (un an). 2.3. La faute de l’intimé est grave. Il s’en est pris à la circulation publique, à des règles garantissant la sécurité d’autrui. Il a mis en danger l’intégrité physique voire la vie d’autres usagers de la route. La période pénale est longue (dix mois) et les infractions sont nombreuses, ce qui trahit une volonté délictuelle intense. Si l’on excepte le souci causé par l’état de santé de sa mère, qui, sinon n’excuse, explique sans doute ses agissements, ses mobiles sont futiles. Le fait de chevaucher sa moto sous le coup d’un retrait de permis, en état de forte ivresse de surcroît, dans le seul but de se rendre au kiosque ou simplement « faire un tour » l’atteste. Il lui aurait été aisément loisible d’éviter d’exposer d’autres biens juridiques protégés. Sous cet angle, ses actes apparaissent répréhensibles. Sa collaboration a été bonne. Il a admis les faits. Sa prise de conscience semble entamée. Il n’exprime toutefois pas de regrets, ne présente pas d’excuses. Il a des antécédents. De précédentes peines pécuniaires n’ont pas suffi à le détourner de la récidive. La première peine privative de liberté, prononcée en décembre 2021, quoique ferme, n’a pas davantage eu l’effet escompté, tout comme celle plus conséquente fixée en juin 2023 (non-définitive à l’époque car frappée d’opposition). À l’aune du critère de l’adéquation de la peine, seule une (nouvelle) peine privative de liberté fait donc sens, à l’exclusion d’une peine pécuniaire. Il n’y a qu’une privation de liberté qui soit susceptible de déployer des effets sur l’intéressé et de s’avérer efficace du point de vue de la prévention. Sa situation sociale ne s’en trouvera pas particulièrement impactée, le prévenu étant sans emploi et émargeant à l’aide sociale. Partant, des peines privatives de liberté seront prononcées pour les autres délits (art. 10 al. 3 CP) également. 2.4. La violation grave qualifiée des règles de la circulation commande, compte tenu de l’ensemble des circonstances, des motivations de l’intéressé et des conditions de route notamment, le prononcé d’une peine privative de liberté d’un an. Cette peine, de base, doit être augmentée dans une juste proportion de trois mois (peine hypothétique : quatre mois) pour sanctionner la conduite en état d’ébriété avec un taux d’alcool qualifié, particulièrement élevé (1.09 mg/l, soit 2.18 ‰ (art. 2 de l’Ordonnance concernant les taux limites d’alcool admis en matière de circulation routière)), d’un mois (peine hypothétique : deux mois) pour réprimer la violation grave des règles de la circulation, et de trois fois un mois (peines hypothétiques : trois fois deux mois) pour punir les conduites sans autorisation, ce qui porte la peine à un an et sept mois.</w:t>
      </w:r>
    </w:p>
    <w:p>
      <w:r>
        <w:t>- 12/17 - P/13105/2023 Il y a concours réel rétrospectif. Si la Cour avait eu à juger simultanément les infractions poursuivies dans la présente cause et les dommages à la propriété sanctionnés le 6 juin 2025, elle aurait ajouté à la peine visée supra dix jours supplémentaires (peine « hypothétique » définitive : 20 jours). C’est donc une peine privative de liberté d’un an, six mois et 20 jours, complémentaire à celle du 6 juin 2025, qui sera prononcée. Le jugement sera réformé sur ce point. 2.5. S’agissant du pronostic, les circonstances des infractions ne plaident pas en faveur de l’intimé. Celui-ci en a commises plusieurs, ce qui témoigne d’un mépris caractérisé des normes. Il a de nombreux antécédents, spécifiques. Il n’a pas hésité à récidiver alors que la présente procédure était en cours – il a été condamné le 6 juin 2025 – et semble désormais ancré dans la délinquance. Sa situation personnelle actuelle n’augure rien de positif. Il est sans occupation et ne fournit pas de document propre à étayer un quelconque projet professionnel, fût-ce un stage. Il subsiste financièrement grâce à l’aide étatique. Sous ces angles, le pronostic est défavorable. Le discours aux débats d’appel se veut positif. L’intimé semble avoir identifié une addiction à l’alcool, susceptible d’être à l’origine de ses méfaits, et être résolu à se faire soigner. Il a débuté un suivi psychologique. Il a par ailleurs vendu sa moto, ce qui devrait pallier la commission de nouvelles infractions LCR. Autant d’éléments qui améliorent quelque peu le pronostic. L’art. 42 al. 2 CP plaidé par l’accusation, qui commande des circonstances particulièrement favorables, n’entre pas en considération, faute de peine privative de liberté de plus de six mois prononcée durant les cinq ans précédant les infractions. Somme toute, le pronostic est très incertain. Confrontée au dilemme du « tout ou rien », la Cour considère, sous l'angle de la prévention spéciale, que l'octroi du sursis pour une partie de la peine ne peut se concevoir que moyennant exécution de l'autre partie. Dite exécution est susceptible d’améliorer le pronostic et d’amender l’intimé, qui n’a jamais fait de prison jusqu’à présent. Les chances d’amendement seront au demeurant renforcées par le fait que des peines privatives de liberté (45 + 180 jours) doivent encore être purgées dans d’autres causes, indépendamment de leur forme d’exécution (art. 77ss CP). En conclusion, la peine sera assortie du sursis partiel.</w:t>
      </w:r>
    </w:p>
    <w:p>
      <w:r>
        <w:t>- 13/17 - P/13105/2023 La partie à exécuter sera arrêtée à neuf mois. Le solde, soit neuf mois et 20 jours, sera suspendu et assorti d’un long délai d’épreuve, dissuasif, de quatre ans (art. 43 al. 2 et 3 et 44 al. 1 CP). Le jugement sera réformé sur ce point. 2.6. L’amende de CHF 800.-, qui sanctionne les contraventions, tient compte adéquatement de la situation de l’intimé et correspond à la faute commise (art. 106 al. 3 CP). Son montant sera donc confirmé, le MP n’expliquant pas en quoi les CHF 970.- requis seraient plus justes, plus conformes aux réquisits légaux. Il n’aborde d’ailleurs pas du tout la question de l’amende dans son réquisitoire. En revanche, cette amende doit être fixée complémentairement (art. 49 al. 2 et 104 CP) à celle du 6 juin 2025, ce que le premier juge n’a pas fait. Certes ce point n’est pas attaqué ; mais il peut être examiné en faveur du prévenu, afin de prévenir une décision illégale (art. 404 al. 2 CPP). Si la Cour avait eu à connaître en une seule fois des contraventions poursuivies dans la présente cause et celle sanctionnée le 6 juin 2025, elle aurait augmenté l’amende de CHF 800.-, de base, dans une juste proportion de CHF 300.- (peine « hypothétique » définitive : CHF 520.-). C’est donc une amende de CHF 580.-, complémentaire à celle du 6 juin 2025, qui sera prononcée. Le jugement sera réformé sur ce point.</w:t>
      </w:r>
    </w:p>
    <w:p>
      <w:r>
        <w:t>L'intimé, qui succombe en grande partie, supportera les 2/3 des frais de la procédure, qui comprennent un émolument de décision de CHF 1'000.- (art. 428 al. 1 CPP et 14 al. 1 let. e du Règlement fixant le tarif des frais en matière pénale [RTFMP]). Le solde sera laissé à la charge de l’État. 4. 4.1. Selon l'art. 135 al. 1 CPP, le défenseur d'office est indemnisé conformément au tarif des avocats de la Confédération ou du canton du for du procès. S'agissant d'une affaire soumise à la juridiction cantonale genevoise, l'art. 16 du règlement sur l'assistance juridique (RAJ) prescrit que l'indemnité, en matière pénale, est calculée selon le tarif horaire suivant, débours de l'étude inclus : chef d'étude CHF 200.-. En cas d'assujettissement, l'équivalent de la TVA est versé en sus (al. 1). Seules les heures nécessaires sont retenues. Elles sont appréciées en fonction notamment de la nature, de l'importance et des difficultés de la cause, de la valeur litigieuse, de la qualité du travail fourni et du résultat obtenu (al. 2). L'activité consacrée aux conférences, audiences et autres actes de la procédure est majorée de 20 % jusqu'à 30 heures de travail, décomptées depuis l'ouverture de la</w:t>
      </w:r>
    </w:p>
    <w:p>
      <w:r>
        <w:t>- 14/17 - P/13105/2023 procédure, pour couvrir les démarches diverses, telle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 4.2. La rémunération de Me B______ sera arrêtée à CHF 1'140.- correspondant à quatre heures et 20 minutes d'activité - les 20 minutes d’étude du dossier consécutifs à la déclaration d’appel du MP s’inscrivent dans le forfait – au tarif de CHF 200.- /heure, plus la majoration forfaitaire de 20%, plus une vacation (CHF 100.-) – pas d’assujettissement à la TVA. * * * * *</w:t>
      </w:r>
    </w:p>
    <w:p>
      <w:r>
        <w:t>- 15/17 - P/13105/2023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