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AARP/59/2017 vom 20. Februar 2017</w:t>
      </w:r>
    </w:p>
    <w:p>
      <w:r>
        <w:t>GE Cour de justice, 2017-02-20, FR</w:t>
      </w:r>
    </w:p>
    <w:p>
      <w:r>
        <w:rPr>
          <w:b/>
        </w:rPr>
        <w:t xml:space="preserve">Quelle: </w:t>
      </w:r>
      <w:r>
        <w:t>https://mcp.opencaselaw.ch/entscheid/ge_gerichte_AARP_59_2017</w:t>
      </w:r>
    </w:p>
    <w:p>
      <w:r>
        <w:t>FR: GE_GERICHTE AARP/59/2017 du 20 février 2017</w:t>
      </w:r>
    </w:p>
    <w:p>
      <w:r>
        <w:t>IT: GE_GERICHTE AARP/59/2017 del 20 febbraio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notamment la quotité de la peine (let. b) et les frais, les indemnités et la réparation du tort moral (let. f).</w:t>
      </w:r>
    </w:p>
    <w:p>
      <w:r>
        <w:t>La Chambre limite son examen aux violations décrites dans l'acte d'appel (art. 404 al. 1 CPP), sauf en cas de décisions illégales ou inéquitables (art. 404 al. 2 CPP).</w:t>
      </w:r>
    </w:p>
    <w:p>
      <w:r>
        <w:rPr>
          <w:b/>
        </w:rPr>
        <w:t>E. 2.1</w:t>
      </w:r>
    </w:p>
    <w:p>
      <w:r>
        <w:t>Les infractions aux art. 19 al. 1 LStup et 115 al. 1 let. b LEtr sont punies d'une peine privative de liberté de trois, respectivement un, ans au plus ou d'une peine pécuniaire</w:t>
      </w:r>
    </w:p>
    <w:p>
      <w:r>
        <w:t>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- 5/9 - P/2505/2016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2.2.2. En matière de trafic de stupéfiants, il y a lieu de tenir compte, plus spécialement, notamment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Le juge doit distinguer le cas de celui qui est lui- 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ses mobiles, ses antécédents et son comportement lors de la procédure (ATF 121 IV 202 consid. 2d/aa p. 204 ; ATF 118 IV 342 consid. 2d p. 349). 2.2.3.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2.2.4. D'après l'art. 49 al. 1 CP, si, en raison d'un ou de plusieurs actes, l'auteur remplit les conditions de plusieurs peines de même genre, le juge le condamne à la peine de l'infraction la plus grave et l'augmente dans une juste proportion.</w:t>
      </w:r>
    </w:p>
    <w:p>
      <w:r>
        <w:t>- 6/9 - P/2505/2016 2.2.5.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Lorsque des motifs de prévention spéciale permettent de considérer que l’une ou l’autre de ces peines seraient d'emblée inadaptées, le juge peut prononcer une peine privative de liberté de courte durée (arrêt du Tribunal fédéral 6B_889/2015 du 30 mai 2016 consid. 4.3 et les références citées). 2.2.6.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 2.3.1. En l'espèce, la faute de l'appelant est sérieuse. Il s'est adonné à un trafic de stupéfiants, qui porte certes sur une drogue dite douce mais dont la quantité n'était pas insignifiante. Il a agi par appât d'un gain facile s'agissant de la vente de stupéfiants et entêtement au mépris des règles légales en ce qui concerne le séjour. Il persiste en outre à séjourner illégalement sur le territoire national. Sa collaboration a été mauvaise, dans la mesure où il n’a admis que les faits incontestables, donnant des explications fantaisistes quant à ses intentions relatives à la drogue en sa possession et à son identification par le prévenu C______. Aucune circonstance atténuante n'est réalisée ni, à juste titre, plaidée et il y a concours d'infractions au sens de l'art. 49 al. 1 CP, ce qui justifie une augmentation de la peine pour l'infraction la plus grave, en l'occurrence la violation de la LStup, dans une juste proportion, étant observé, vu la jurisprudence (ATF 135 IV 6 consid. 4.2 p. 11 ; arrêt du Tribunal fédéral 6B_1226/2013 du 31 mars 2014 consid. 1.1), que le plafond de douze mois pour les infractions à la LEtr n'est pas encore atteint, de sorte qu'une peine peut encore être prononcée pour sanctionner le séjour illégal.</w:t>
      </w:r>
    </w:p>
    <w:p>
      <w:r>
        <w:t>- 7/9 - P/2505/2016 Les antécédents judiciaires de l'appelant sont nombreux et spécifiques, ce qui démontre qu'il est insensible aux décisions de justice, lesquelles ne sont pas de nature à le dissuader de récidiver, même quand il est confronté à des peines de prison fermes. La situation personnelle de l'appelant ne révèle aucun facteur à décharge. A supposer que sa compagne serait enceinte, et qu'il aurait trouvé un travail en France, la peine prononcée n'apparait pas sévère au point de réduire à néant ses perspectives d'avenir et reste proportionnée à sa faute. Cette nouvelle situation, tant financière que familiale, n'est d'ailleurs étayée par aucun document. L'octroi du sursis est exclu, vu la condamnation à une peine privative de liberté de six mois prononcée en novembre 2013 et en l'absence de la moindre circonstance permettant de retenir que le pronostic serait particulièrement favorable (art. 42 al. 2 CP). Etant donné la situation administrative de l'appelant en Suisse, l’absence de toute possibilité de gain licite et ses précédentes condamnations restées sans effet dissuasif, le travail d’intérêt général est inenvisageable au même titre que la peine pécuniaire. C’est donc à juste titre que le premier juge a prononcé une peine privative de liberté ferme. Le jugement entrepris sera confirmé sur ce point. 2.3.2. Dans la mesure où la précédente peine privative de liberté limitée à 90 jours ne semble pas avoir été suffisante pour dissuader l'intéressé de persévérer dans ses agissements illégaux, une courte peine privative de liberté légèrement supérieure apparait opportune. A cet égard, celle de 110 jours prononcée par le premier juge prend correctement en compte l'ensemble des éléments susmentionnés. Le jugement entrepris sera ainsi intégralement confirmé.</w:t>
      </w:r>
    </w:p>
    <w:p>
      <w:r>
        <w:rPr>
          <w:b/>
        </w:rPr>
        <w:t>E. 3</w:t>
      </w:r>
    </w:p>
    <w:p>
      <w:r>
        <w:t>Vu l'issue de la cause, l'appelant ne saurait prétendre à indemnisation, au sens de l'art. 429 CPP, ni à une modification de la répartition des frais de première instance ; il sera en outre condamné à ceux de la procédure d'appel, lesquels comprendront un émolument de CHF 1'000.- (art. 428 CPP et 14 du règlement fixant le tarif des frais en matière pénale du 22 décembre 2010 [RTFMP - E 4 10.03]). * * * * *</w:t>
      </w:r>
    </w:p>
    <w:p>
      <w:r>
        <w:t>- 8/9 - P/2505/2016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