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AARP/58/2019 vom 26. Juni 2018</w:t>
      </w:r>
    </w:p>
    <w:p>
      <w:r>
        <w:t>GE Cour de justice, 2018-06-26, FR</w:t>
      </w:r>
    </w:p>
    <w:p>
      <w:r>
        <w:rPr>
          <w:b/>
        </w:rPr>
        <w:t xml:space="preserve">Quelle: </w:t>
      </w:r>
      <w:r>
        <w:t>https://mcp.opencaselaw.ch/entscheid/ge_gerichte_AARP_58_2019</w:t>
      </w:r>
    </w:p>
    <w:p>
      <w:r>
        <w:t>FR: GE_GERICHTE AARP/58/2019 du 26 juin 2018</w:t>
      </w:r>
    </w:p>
    <w:p>
      <w:r>
        <w:t>IT: GE_GERICHTE AARP/58/2019 del 26 giugno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as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6B_1173/2016 du 7 août 2017 consid. 2.1 ; 6B_71/2016 du 5 avril 2017 consid. 2.1.3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A teneur de l'art. 399 al. 3 let. c CPP, l'appelant doit indiquer dans sa déclaration d'appel les éventuelles réquisitions de preuves. Selon la jurisprudence du Tribunal fédéral, l'appelant peut encore en présenter d'autres pendant la phase des débats, postérieurement à sa déclaration d'appel (ATF 143 IV 214 consid. 5.4 ; arrêts du Tribunal fédéral 6B_345/2017 du 16 janvier 2018 consid. 1.3 ; 6B_542/2016 du</w:t>
      </w:r>
    </w:p>
    <w:p>
      <w:r>
        <w:rPr>
          <w:b/>
        </w:rPr>
        <w:t>E. 2.2</w:t>
      </w:r>
    </w:p>
    <w:p>
      <w:r>
        <w:t>La justice civile et la justice pénale ont refusé d'entrer en matière sur les accusations portées par l'appelante à l'encontre des intimés, essentiellement en raison de l'absence de preuves suffisantes. Pour ce motif, comme il sera examiné ci-dessous, l'appelante ne peut plus apporter la preuve libératoire de la vérité de ses propos, au risque de violer le droit à la tranquillité de l'ancien prévenu. La CPAR considère que les preuves dont l'administration est demandée poursuivent exclusivement le but de prouver la véracité des allégations tenues. En tout état, l'appelante n'explique pas quels autres éclairages pourraient apporter les documents et témoignages sollicités. Partant, l'administration des preuves évoquées dans le mémoire d'appel ne paraît pas susceptible d'apporter des éléments utiles à l'issue de la procédure d'appel, de sorte qu'il n'y a pas lieu d'y procéder.</w:t>
      </w:r>
    </w:p>
    <w:p>
      <w:r>
        <w:t>- 11/19 - P/16812/2016 3. 3.1.1.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3.1.2. Cette disposition protège la réputation d'être une personne honorable, c'est-à- dire de se comporter comme une personne digne a coutume de le faire selon les conceptions généralement reçues. Il faut donc que l'atteinte fasse apparaître la personne visée comme méprisable (ATF 137 IV 313 consid. 2.1.1 ; 119 IV 44 consid. 2a et les arrêts cités).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et les références citées). La diffamation suppose une allégation de fait, et non pas un simple jugement de valeur (ATF 137 IV 313 consid. 2.1.2 ; ATF 117 IV 27 consid. 2c).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3.1.3. Est en principe considéré comme tiers toute personne autre que l'auteur et l'objet des propos qui portent atteinte à l'honneur (ATF 86 IV 209). 3.1.4. Le fait d'accuser une personne d'avoir commis un crime ou un délit intentionnel entre dans les prévisions de l'art. 173 ch. 1 CP (ATF 132 IV 112</w:t>
      </w:r>
    </w:p>
    <w:p>
      <w:r>
        <w:t>- 12/19 - P/16812/2016 consid. 2.2 ; 118 IV 248 consid. 2b ; arrêt du Tribunal fédéral 6B_138/2008 du 22 janvier 2009 consid. 3.1). 3.1.5. Le caractère intrinsèquement attentatoire à l'honneur du terme "escroc" n'est pas discutable. Pour distinguer l'allégation de fait du jugement de valeur, par exemple s'agissant des expressions "voleur" ou "escroc", il faut se demander, en fonction des circonstances, si les termes litigieux ont un rapport reconnaissable avec un fait ou sont employés pour exprimer le mépris (arrêt du Tribunal fédéral 6B_512/2017 du 12 février 2018 consid. 3.2 et les références). 3.1.6.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Selon la jurisprudence, celui qui a allégué la commission d'une infraction doit en principe apporter la preuve de la vérité par la condamnation pénale de la personne visée (ATF 116 IV 31 consid. 4 ; 106 IV 115 consid. 2c). Cette condamnation peut être postérieure à l'allégation incriminée (ATF 122 IV 311 consid. 2e). Cette jurisprudence est critiquée en doctrine (cf. ATF 132 IV 112 consid. 4.2). Mais il n'y a en tout cas pas lieu de s'en écarter lorsque l'auteur a articulé ou propagé ses accusations après un jugement d'acquittement ou après une ordonnance de non-entrée en matière motivée par l'insuffisance des charges. L'acquittement et la non-entrée en matière ne pourraient remplir entièrement leur fonction, qui est notamment de garantir le droit à la tranquillité de l'ancien prévenu, si leur bien-fondé pouvait être contesté à titre préjudiciel dans un procès pour atteinte à l'honneur. Il en va ainsi quand bien même l'auteur invoquerait des faits ou moyens de preuves pertinents et nouveaux. Il n'appartient en effet qu'à l'autorité qui a prononcé la non-entrée en matière d'en réexaminer le bien-fondé, aux conditions prévues par la loi. Dès lors, aussi longtemps qu'elle n'a pas été révoquée, l'ordonnance de non-entrée en matière pour insuffisance des charges fait obstacle à la preuve de la vérité dans un procès en diffamation (arrêt du Tribunal fédéral 6B_138/2008 du 22 janvier 2009 consid. 3.3). En revanche, un jugement d'acquittement ou une ordonnance de non-entrée en matière n'empêche pas l'auteur de tenter d'établir sa bonne foi (ATF 106 IV 115 consid. 2e ; 101 IV 292 consid. 5). Dans un arrêt récent, le Tribunal fédéral a retenu, s'agissant de l'art. 173 ch. 2 CP, que pour échapper à la sanction pénale, l'auteur de bonne foi doit démontrer qu'il a accompli les actes que l'on pouvait exiger de lui, selon les circonstances et sa situation personnelle, pour contrôler la véracité de ses allégations et la considérer</w:t>
      </w:r>
    </w:p>
    <w:p>
      <w:r>
        <w:t>- 13/19 - P/16812/2016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(arrêt du Tribunal fédéral 6B_512/2017 du 12 février 2018, consid. 3.4.1 et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Le juge refusera la preuve libératoire lorsque l'auteur s'est exprimé sans motif suffisant et a agi principalement dans le dessein de dire du mal d'autrui (M. DUPUIS / L. MOREILLON / C. PIGUET / S. BERGER / M. MAZOU / V. RODIGARI, Petit Commentaire du Code pénal, 2e éd., Bâle 2017, n. 35 ad art. 173). 3.1.7. Du point de vue subjectif, il suffit que l'auteur ait eu conscience du caractère attentatoire à l'honneur de ses propos et qu'il les ait néanmoins proférés ; il n'est pas nécessaire qu'il ait eu la volonté de blesser la personne visée (ATF 119 IV 44 consid. 2a et la jurisprudence citée). L'auteur doit également avoir l'intention de divulguer l'information à un tiers (ATF 105 IV 114 consid. 1b). 3.2. Se rend coupable d'injure celui qui aura, par la parole, l'écriture, l'image, le geste ou par des voies de fait, attaqué autrui dans son honneur (art. 177 al. 1 CP). L'art. 177 al. 2 CP permet au juge d'exempter l'auteur d'une injure de toute peine si l'injurié a directement provoqué l'injure par une conduite répréhensible.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w:t>
      </w:r>
    </w:p>
    <w:p>
      <w:r>
        <w:t>- 14/19 - P/16812/2016 2013 consid. 1.1 et les références citées). Traiter quelqu'un de "mongol", de "bande de salauds" ou de "petit con" constitue des jugements de valeur injurieux (ATF 117 IV 270 consid. 2b ; arrêt du Tribunal fédéral 6B_602/2009 du 29 septembre 2009 consid. 2.3). Lorsque l'auteur a allégué des faits attentatoires à l'honneur en s'adressant uniquement à la personne visée et qu'il tombe ainsi sous le coup de l'art. 177 CP, il est admis que sont aussi ouvertes les preuves libératoires selon l'art. 173 ch. 2 et 3 CP, qui excluent la condamnation de l'auteur à une peine (arrêt du Tribunal fédéral 6B_512/2017 du 12 février 2018, consid. 3.4.1 ; ATF 93 IV 20 consid. 3 ; plus récemment : arrêt 6B_318/2016 du 13 octobre 2016 consid. 3.8.3).</w:t>
      </w:r>
    </w:p>
    <w:p>
      <w:r>
        <w:t>3.3.1. Aux termes de l'art. 186 CP, est punissable, sur plainte, celui qui, d'une manière illicite et contre la volonté de l'ayant-droit, aura pénétré dans une maison, une habitation, dans un local fermé faisant partie d'une maison, dans un espace, cour ou jardin clos et attenant à une maison, ou dans un chantier, ou y sera demeuré au mépris de l'injonction de sortir à lui adressée par un ayant droit.</w:t>
      </w:r>
    </w:p>
    <w:p>
      <w:r>
        <w:t>L'infraction de violation de domicile (art. 186 CP) protège la liberté du domicile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(ATF 128 IV 81 consid. 3a).</w:t>
      </w:r>
    </w:p>
    <w:p>
      <w:r>
        <w:t>3.4.1. En l'espèce, l'appelante a admis d'emblée être l'auteure des messages et courriels adressés aux intimés dont il est question dans la présente procédure.</w:t>
      </w:r>
    </w:p>
    <w:p>
      <w:r>
        <w:t>Ces messages, courriels et SMS contiennent de graves accusations dirigées contre les intimés, gravité admise par l'appelante. En lien avec la succession de son défunt compagnon, elle les a traités d'escrocs, de tricheurs ainsi que de personnes malhonnêtes et les a expressément accusés d'avoir commis des infractions pénales, notamment des escroqueries, des abus de confiance et de la gestion déloyale.</w:t>
      </w:r>
    </w:p>
    <w:p>
      <w:r>
        <w:t>De tels propos portent indubitablement atteinte à l'honneur des intimés les faisant apparaître comme des personnes méprisables. Ils constituent en outre des allégations de fait et non des jugements de valeurs puisqu'ils sont directement en lien avec les événements entourant la succession de feu E______.</w:t>
      </w:r>
    </w:p>
    <w:p>
      <w:r>
        <w:t>Lorsque ces déclarations ont pour destinataires uniques les intimés, ils sont constitutifs d'injure au sens de l'art. 177 CP. En revanche, en diffusant certains messages et courriels à des tiers, notamment la Commission du barreau, le département de justice et police, plusieurs avocats genevois, l'appelante s'est rendue</w:t>
      </w:r>
    </w:p>
    <w:p>
      <w:r>
        <w:t>- 15/19 - P/16812/2016 coupable de diffamation au sens de l'art. 173 CP, les personnes citées ayant la qualité de tiers au sens de cette disposition.</w:t>
      </w:r>
    </w:p>
    <w:p>
      <w:r>
        <w:t>Conformément à la jurisprudence rappelée ci-dessus, le refus d'entrer en matière du Ministère public pour insuffisance de charges, ainsi que le rejet de l'action civile de l'appelante par la Justice de paix font obstacle à la preuve de la vérité dans la présente procédure. Le bien-fondé de ces décisions ne peut être contesté dans la présente procédure qui porte sur des atteintes à l'honneur.</w:t>
      </w:r>
    </w:p>
    <w:p>
      <w:r>
        <w:t>Se pose alors la question de savoir si l'appelante disposait, au moment où elle a rédigé les courriels et messages litigieux, des raisons sérieuses de croire à la culpabilité des intimés, étant précisé que les allégations tenues vont au-delà de simples soupçons, puisqu'elle a directement accusé les intimés de la commission d'infractions pénales.</w:t>
      </w:r>
    </w:p>
    <w:p>
      <w:r>
        <w:t>A la suite des échecs des procédures entamées devant les instances civiles et pénales, l'appelante a décidé d'obtenir elle-même les informations qu'elle cherchait, que ni la justice, ni l'assistance d'un avocat n'avaient permis d'apporter. Or, elle n'était alors en possession d'aucun document démontrant la véracité de ses accusations. Elle n'a par ailleurs jamais fait mention des documents qui lui avaient été montrés par les intimés suite à ses nombreuses demandes, ce qui laisse à penser que ceux-ci n'incriminaient aucunement les intimés, bien au contraire. Consciente que, malgré ses nombreuses entreprises pour obtenir des preuves, elle ne détenait aucun élément probant, l'appelante ne pouvait croire de bonne foi à l'exactitude des allégations qu'elle proférait.</w:t>
      </w:r>
    </w:p>
    <w:p>
      <w:r>
        <w:t>Au vu de ce qui précède, l'appelante n'est pas autorisée à faire tant la preuve de la vérité et échoue dans celle de la bonne foi. En effet, les faits dénoncés ne sont pas établis et l'appelante n'a pas même rendu vraisemblable qu'elle avait de sérieuses raisons de les tenir pour vrais.</w:t>
      </w:r>
    </w:p>
    <w:p>
      <w:r>
        <w:t>3.4.2. L'appelante n'est pas revenue en appel sur la qualification d'injure des propos tenus à l'intimé C______ le 15 décembre 2016, en particulier du mot "pute". Au cours de la procédure, elle avait affirmé avoir uniquement dit qu'elle comprenait désormais pourquoi son défunt compagnon avait déclaré, par le passé, que les avocats étaient des "putes". L'intimé B______ a indiqué qu'il ne s'agissait pas d'une simple généralité concernant les avocats, mais d'une insulte dirigée contre son avocat.</w:t>
      </w:r>
    </w:p>
    <w:p>
      <w:r>
        <w:t>Au vu de ce qui précède, du déroulement des événements et de la teneur des courriels précédant sa visite dans les locaux de D______ SA, la CPAR retiendra, à l'instar du premier juge, que l'appelante a bel et bien traité l'intimé C______ de "pute". Il s'agit</w:t>
      </w:r>
    </w:p>
    <w:p>
      <w:r>
        <w:t>- 16/19 - P/16812/2016 d'une injure formelle adressée directement au lésé et elle ne pouvait ignorer le caractère attentatoire à l'honneur de ce propos.</w:t>
      </w:r>
    </w:p>
    <w:p>
      <w:r>
        <w:t>Aucun élément de la procédure ne permet de penser que l'intimé C______ a directement provoqué les injures formulées par l'appelante, que ce soit celles contenues dans les écrits (cf. consid. 3.4.1) ou celles prononcées dans les locaux de D______ SA. Le fait qu'elle n'ait pas obtenu les réponses qu'elle espérait de B______ et l'intimé C______ ou que ce dernier lui ait demandé de quitter les lieux dans des termes crus ("dégager") ne s'apparente pas à une conduite répréhensible au sens de l'art. 177 al. 2 CP.</w:t>
      </w:r>
    </w:p>
    <w:p>
      <w:r>
        <w:t>3.4.3. L'appelante a reconnu avoir refusé de quitter les locaux de D______ SA le 15 décembre 2016, malgré la demande expresse de l'intimé B______, ayant droit desdits locaux. Elle s'est ainsi rendue coupable de violation de domicile au sens de l'art. 186 CP.</w:t>
      </w:r>
    </w:p>
    <w:p>
      <w:r>
        <w:t>Partant, la CPAR constate que l'appelante a bien commis les faits énoncés dans l'acte d'accusation, constitutifs de diffamation au sens de l'art. 173 ch. 1 CP, d'injure selon l'art. 177 al. 1 CP et de violation de domicile d'après l'art. 186 CP.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5</w:t>
      </w:r>
    </w:p>
    <w:p>
      <w:r>
        <w:t>mai 2017 consid. 3.4.3).</w:t>
      </w:r>
    </w:p>
    <w:p>
      <w:r>
        <w:rPr>
          <w:b/>
        </w:rPr>
        <w:t>E. 5.1</w:t>
      </w:r>
    </w:p>
    <w:p>
      <w:r>
        <w:t>L'appelante, qui succombe, supportera les frais de la procédure envers l'Etat (art. 428 CPP), qui comprennent un émolument de décision de CHF 2'000.-.</w:t>
      </w:r>
    </w:p>
    <w:p>
      <w:r>
        <w:rPr>
          <w:b/>
        </w:rPr>
        <w:t>E. 5.2</w:t>
      </w:r>
    </w:p>
    <w:p>
      <w:r>
        <w:t>Au vu de ce qui précède, en particulier de la confirmation du verdict de culpabilité, la répartition des frais de première instance ne sera pas revue (art. 428 al. 3 CPP).</w:t>
      </w:r>
    </w:p>
    <w:p>
      <w:r>
        <w:t>* * * * *</w:t>
      </w:r>
    </w:p>
    <w:p>
      <w:r>
        <w:t>- 18/19 - P/16812/2016</w:t>
      </w:r>
    </w:p>
    <w:p>
      <w:r>
        <w:rPr>
          <w:b/>
        </w:rPr>
        <w:t>E. 6</w:t>
      </w:r>
    </w:p>
    <w:p>
      <w:r>
        <w:t>consid. 6.1).</w:t>
      </w:r>
    </w:p>
    <w:p>
      <w:r>
        <w:t>4.2. D'après l'art. 49 al. 1 CP, si, en raison d'un ou de plusieurs actes, l'auteur remplit les conditions de plusieurs peines de même genre, le juge le condamne à la peine de</w:t>
      </w:r>
    </w:p>
    <w:p>
      <w:r>
        <w:t>- 17/19 - P/16812/2016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w:t>
      </w:r>
    </w:p>
    <w:p>
      <w:r>
        <w:t>4.3. L'appelante ne conteste pas la nature de la peine dans l'hypothèse d'une confirmation du verdict de culpabilité. La fixation de la peine dans le jugement entrepris consacre une application correcte des critères fixés à l'art. 47, en particulier de la gravité de sa faute, de la longueur de la période pénale et de sa situation personnelle. Malgré les charges pesant contre elle dans la présente procédure, l'appelante a persisté dans ses allégations attentatoires à l'honneur à l'encontre des intimés.</w:t>
      </w:r>
    </w:p>
    <w:p>
      <w:r>
        <w:t>La CPAR retient qu'une peine de 40 jours-amende sanctionnant l'infraction la plus grave, soit celle de diffamation, augmentée de 30 jours-amende pour tenir compte du concours avec les infractions d'injure et de violation de domicile, soit une peine totale de 70 jours-amende est appropriée. Le montant du jour-amende, de CHF 30.- l'unité, est également adéquat. Le bénéfice du sursis lui est acquis. Le jugement entrepris sera par conséquent entièrement confirmé.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