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AARP/58/2017 vom 20. Februar 2017</w:t>
      </w:r>
    </w:p>
    <w:p>
      <w:r>
        <w:t>GE Cour de justice, 2017-02-20, FR</w:t>
      </w:r>
    </w:p>
    <w:p>
      <w:r>
        <w:rPr>
          <w:b/>
        </w:rPr>
        <w:t xml:space="preserve">Quelle: </w:t>
      </w:r>
      <w:r>
        <w:t>https://mcp.opencaselaw.ch/entscheid/ge_gerichte_AARP_58_2017</w:t>
      </w:r>
    </w:p>
    <w:p>
      <w:r>
        <w:t>FR: GE_GERICHTE AARP/58/2017 du 20 février 2017</w:t>
      </w:r>
    </w:p>
    <w:p>
      <w:r>
        <w:t>IT: GE_GERICHTE AARP/58/2017 del 20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D'après l'art. 49 al. 1 CP, si, en raison d'un ou de plusieurs actes, l'auteur remplit les conditions de plusieurs peines de même genre, le juge le condamne à la peine de l'infraction la plus grave et l'augmente dans une juste proportion.</w:t>
      </w:r>
    </w:p>
    <w:p>
      <w:r>
        <w:t>- 5/9 - P/18399/2015 2.1.3.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2.1.4.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choisir la nature de la peine, le juge doit prendre en considération l'opportunité de la sanction déterminée, ses effets sur l'auteur et son milieu social, ainsi que son efficacité préventive (ATF 134 IV 97 consid. 4 p. 100 ss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qu'une peine pécuniaire ou un travail d'intérêt général seraient d'emblée inadaptées, l'autorité peut prononcer une peine privative de liberté de courte durée (arrêts du Tribunal fédéral 6B_889/2015 du 30 mai 2016 consid. 4.3 ; 6B_196/2012 du 24 janvier 2013 consid. 3.3).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w:t>
      </w:r>
    </w:p>
    <w:p>
      <w:r>
        <w:t>- 6/9 - P/18399/2015 définitive a été rendue sur son statut en droit des étrangers et qu'il doit quitter la Suisse, le travail d'intérêt général ne constitue pas une sanction adéquate. Il est alors exclu (arrêts du Tribunal fédéral 6B_525/2014 du 9 octobre 2014 consid. 2 et 6B_541/2007 du 13 mai 2008 consid. 4.2.4).</w:t>
      </w:r>
    </w:p>
    <w:p>
      <w:r>
        <w:rPr>
          <w:b/>
        </w:rPr>
        <w:t>E. 2.2</w:t>
      </w:r>
    </w:p>
    <w:p>
      <w:r>
        <w:t>En l'espèce, la faute de l'appelant est sérieuse dans la mesure où, bien qu'ayant été renvoyé deux fois au Portugal, pays saisi de sa première d'asile, il persiste à revenir et demeurer en Suisse, faisant totalement fi de l'interdiction d'entrée qui lui avait été signifiée le 21 septembre 2013 et qui demeurait valable jusqu'au</w:t>
      </w:r>
    </w:p>
    <w:p>
      <w:r>
        <w:rPr>
          <w:b/>
        </w:rPr>
        <w:t>E. 7</w:t>
      </w:r>
    </w:p>
    <w:p>
      <w:r>
        <w:t>novembre 2015. A cet égard, il convient de relever que, selon la jurisprudence de la CJUE, reprise par le Tribunal fédéral, la Directive sur le retour ne fait aucunement obstacle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 (affaire Skerdjan Celaj C-290/14 du 1er octobre 2015). L'appelant a, de même, affiché le mépris le plus complet de l'interdiction de se rendre à Genève, qui lui avait été signifiée le 6 décembre 2014 pour une durée de six mois, en y passant le plus clair de son temps, comportement qui est également réprimé par l'art. 119 al. 1 LEtr (cf AARP/378/2016), bien qu'il ne dispose d'aucune attache avec ce canton puisqu'il déclare lui-même que son amie réside à Lausanne. Le concours d'infraction constitue un facteur aggravant et les périodes pénales sont d'une durée significative. Le pronostic futur est incontestablement défavorable dans la mesure où l'appelant s'obstine à vouloir rester en Suisse, où il n'a pourtant aucun avenir, de sorte que l'octroi d'un sursis est exclu, étant encore relevé qu'indépendamment de la question de savoir s'il pourrait ou non rentrer dans son pays d'origine, il n'invoque aucun motif valable l'empêchant de retourner au Portugal et d'y demeurer jusqu'à droit connu sur sa demande d'asile. Pour les motifs déjà exposés, un travail d'intérêt général ne constitue pas une sanction adéquate en l'occurrence et il en va de même d'une peine pécuniaire, puisque, outre le fait qu'il vit dans la clandestinité et n'a aucune source licite de revenu, l'appelant a déjà fait l'objet à deux reprises d'une peine de ce type, sans que cela ne l'ait empêché de récidiver, même les deux dernières peines privatives de liberté de deux mois chacune étant restées sans effet. Compte tenu de ces éléments, seule une nouvelle privation de liberté d'une durée plus conséquente apparaît être de nature à le dissuader de persister dans ses agissement délictueux. La peine de 90 jours prononcée en première instance apparaît ainsi appropriée et doit être, partant, confirmée.</w:t>
      </w:r>
    </w:p>
    <w:p>
      <w:r>
        <w:t>- 7/9 - P/18399/2015 3. L'appelant, qui succombe, supportera les frais de la procédure envers l'Etat (art. 428 CPP). 4. 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w:t>
      </w:r>
    </w:p>
    <w:p>
      <w:r>
        <w:t>4.2. L'état de frais produit par le défenseur d'office de l'appelant parait adéquat et conforme aux principes applicables en la matière dans la mesure où l'essentiel de l'activité a été accompli par un avocat stagiaire qui a nécessairement besoin de plus de temps qu'un avocat breveté. L'indemnité due à Me B______ sera ainsi fixée à CHF 596.15, correspondant à une heure d'activité au tarif de CHF 200.-/heure et à quatre heures à celui de CHF 65-/heure, plus la majoration forfaitaire de 20% et la TVA à 8%.</w:t>
      </w:r>
    </w:p>
    <w:p>
      <w:r>
        <w:t>* * * * *</w:t>
      </w:r>
    </w:p>
    <w:p>
      <w:r>
        <w:t>- 8/9 - P/18399/2015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