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AARP/580/2014 vom 19. Dezember 2014</w:t>
      </w:r>
    </w:p>
    <w:p>
      <w:r>
        <w:t>GE Cour de justice, 2014-12-19, FR</w:t>
      </w:r>
    </w:p>
    <w:p>
      <w:r>
        <w:rPr>
          <w:b/>
        </w:rPr>
        <w:t xml:space="preserve">Quelle: </w:t>
      </w:r>
      <w:r>
        <w:t>https://mcp.opencaselaw.ch/entscheid/ge_gerichte_AARP_580_2014</w:t>
      </w:r>
    </w:p>
    <w:p>
      <w:r>
        <w:t>FR: GE_GERICHTE AARP/580/2014 du 19 décembre 2014</w:t>
      </w:r>
    </w:p>
    <w:p>
      <w:r>
        <w:t>IT: GE_GERICHTE AARP/580/2014 del 19 dicembre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expressément par les art. 6 par. 2 de la Convention de sauvegarde des</w:t>
      </w:r>
    </w:p>
    <w:p>
      <w:r>
        <w:t>- 16/28 - P/392/2011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w:t>
      </w:r>
    </w:p>
    <w:p>
      <w:r>
        <w:t>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w:t>
      </w:r>
    </w:p>
    <w:p>
      <w:r>
        <w:t>Il convient, par ailleurs, de rappeler, que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Dans le cadre du principe de libre appréciation des preuves, rien ne s'oppose non plus à ne retenir qu'une partie des déclarations d'un témoin globalement crédible (ATF 120 Ia 31 consid. 3, spéc. p. 39).</w:t>
      </w:r>
    </w:p>
    <w:p>
      <w:r>
        <w:rPr>
          <w:b/>
        </w:rPr>
        <w:t>E. 2.2</w:t>
      </w:r>
    </w:p>
    <w:p>
      <w:r>
        <w:t>Selon l’art. 190 al. 1 CP, se rend coupable de viol, celui qui, notamment en usant de menace ou de violence, en exerçant sur sa victime des pressions d’ordre psychique ou en la mettant hors d’état de résister, aura contraint une personne de sexe féminin à subir l’acte sexuel.</w:t>
      </w:r>
    </w:p>
    <w:p>
      <w:r>
        <w:t>- 17/28 - P/392/2011</w:t>
      </w:r>
    </w:p>
    <w:p>
      <w:r>
        <w:t>Par acte sexuel, il faut entendre l’introduction, même partielle et momentanée, du pénis dans le vagin, l’éjaculation n’étant pas nécessaire (ATF 123 IV 49 consid. 2 p. 52). Le comportement réprimé consiste dans le fait, pour l’homme, de contraindre volontairement la femme à subir l’acte sexuel proprement dit (B. CORBOZ, Les infractions en droit suisse, volume I, 3e édition, Berne 2010, n. 7 ad art. 190 CP).</w:t>
      </w:r>
    </w:p>
    <w:p>
      <w:r>
        <w:t>2.3.1. Selon l'art. 200 CP, le juge peut augmenter la durée de la peine, mais pas au- delà de la moitié en sus du maximum (tout en étant lié par le maximum légal du genre de peine), si l'infraction a été commise en commun par plusieurs personnes, soit « plus d’un ». L'action en commun suppose la coactivité et la doctrine exige que les personnes soient présentes lors de l'acte (B. CORBOZ, op. cit., n° 40 ad art. 189 CP).</w:t>
      </w:r>
    </w:p>
    <w:p>
      <w:r>
        <w:t>2.3.2.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125 IV 134 consid. 3a).</w:t>
      </w:r>
    </w:p>
    <w:p>
      <w:r>
        <w:t>Dans l’ATF 125 IV 134, le Tribunal fédéral a estimé que la femme qui s’était associée pleinement et en toute connaissance de cause à la décision de l'auteur direct de violer la victime, encourageant en outre celui-ci par son comportement durant le viol, se rendait coupable de cette infraction en qualité de coauteur, même si elle ne pouvait être l'auteur direct du viol.</w:t>
      </w:r>
    </w:p>
    <w:p>
      <w:r>
        <w:rPr>
          <w:b/>
        </w:rPr>
        <w:t>E. 2.4</w:t>
      </w:r>
    </w:p>
    <w:p>
      <w:r>
        <w:t>En l’espèce, il est avéré que l’intimée B______ s’est rendue dans l’appartement de F______, en présence du père de celui-ci, dans la nuit du 20 au 21 avril 2013. L’adolescente avait bu de l'alcool ce soir-là avec des amis, ce que le témoin H______ a confirmé, et avait peur de rentrer chez elle, après l'heure convenue et dans un tel état, étant rappelé que c’était la première fois qu’elle avait été autorisée par sa mère à sortir après plusieurs mois. La plaignante a déclaré de manière constante qu’elle avait quitté une première fois l’appartement pour chercher, sans succès, son IPhone, car</w:t>
      </w:r>
    </w:p>
    <w:p>
      <w:r>
        <w:t>- 18/28 - P/392/2011 elle voulait téléphoner à son amie G______. Elle était ensuite revenue à l’appartement et avait utilisé le téléphone de l’appelant pour contacter son amie, en vain. Il n’est en outre pas contesté que la plaignante ne voulait pas parler à sa mère ce soir-là, laquelle a tenté de joindre sa fille à de très nombreuses reprises, ainsi qu’elle l’a déclaré dans la procédure.</w:t>
      </w:r>
    </w:p>
    <w:p>
      <w:r>
        <w:t>La CPAR tient également pour établi que F______ a entretenu un rapport sexuel avec la plaignante cette nuit-là, ce qui ressort non seulement des déclarations constantes de l’intimée B______, mais aussi de celles du jeune homme, dont le témoignage doit certes être examiné avec une certaine retenue compte tenu de son état de santé psychique, mais dont le récit de la soirée est globalement cohérent et concordant sur de nombreux points avec celui de la plaignante et de l’appelant, que ce soit s’agissant du repas d’anniversaire au restaurant, de la rencontre avec l’intimée dans le préau, du fait qu’ils auraient fait l’amour ensemble, voire encore de l’épisode du préservatif ou du sandwich, ou encore des appels que l’intimée a reçus de sa mère et auxquels elle n’a pas répondu. De manière constante, la plaignante a déclaré que le rapport sexuel n’était pas consenti, que F______ s'était couché sur elle, l’avait pénétrée vaginalement, lui avait mordu le sein et tiré les cheveux, elle-même pleurant et lui disant d’arrêter. L’attitude de la plaignante déjà avant de monter dans l’appartement est révélatrice de l’absence de consentement, celle-ci ayant manifesté dans le préau son opposition aux avances de F______, ainsi que l’a confirmé le témoin H______. L'absence de consentement de la plaignante est d'autant plus avérée que F______, compte tenu de son retard mental, avait un comportement inadéquat en matière sexuelle. Le fait que F______ n'ait pas compris le refus exprimé ou soit passé outre s'explique par son trouble mental, qui l'empêche de concevoir la gravité d'un acte de contrainte sexuelle et d'adapter son comportement dans une telle situation, ce que l’expert psychiatre a constaté.</w:t>
      </w:r>
    </w:p>
    <w:p>
      <w:r>
        <w:t>Contrairement à l'intimée, qui a fourni un récit constant, l'appelant a donné des explications contradictoires, prétendant d'abord que rien ne s'était passé entre son fils, qui s'était couché sur le canapé du salon, et la plaignante, qui avait pris place dans la chambre à coucher. Il a ensuite affirmé, lors de l'instruction préliminaire, qu'effectivement son fils et l'intimée B______ avaient entretenu un rapport sexuel, mais consenti et provoqué par cette dernière. Il est de nouveau revenu sur ses déclarations, indiquant qu'en réalité son fils et la plaignante avaient seulement essayé d'avoir un rapport sexuel et qu'ils étaient restés habillés.</w:t>
      </w:r>
    </w:p>
    <w:p>
      <w:r>
        <w:t>En ce qui concerne le rôle de l'appelant, il sera retenu que la plaignante a suivi spontanément F______, en raison du fait qu'il y avait son père, ce qui l'avait rassurée, s'agissant d'un adulte qu'elle connaissait déjà en sa qualité de concierge de son immeuble. L'intimée a expliqué que c'est l'appelant qui l'avait encouragée à se coucher dans le lit de son fils et qui l'avait partiellement déshabillée. Elle a en outre ajouté qu'A______ était à côté du lit pendant que son fils la pénétrait et l'avait caressée. Les déclarations de la plaignante sur l’implication de l’appelant ont été</w:t>
      </w:r>
    </w:p>
    <w:p>
      <w:r>
        <w:t>- 19/28 - P/392/2011 constantes tout au long de la procédure et sont dépourvues d'exagération, preuve en est qu'elle a spontanément précisé, devant le Ministère public, qu'elle n'était pas sûre que l'appelant lui ait aussi ôté son soutien-gorge, contrairement à ce qu'elle avait indiqué dans un premier temps à la police. La plaignante a fourni de nombreux détails, par exemple sur le fonctionnement de ses deux natels et sur les raisons pour lesquelles elle était sortie chercher son propre IPhone pour tenter de joindre son amie G______, alors qu’elle avait un second téléphone portable sur elle, soit celui de sa sœur que sa mère lui avait remis pour la joindre, mais qui n’avait plus de crédit pour passer des appels. Elle n'a pas occulté le fait qu'elle était retournée de son plein gré dans l'appartement du fils de l'appelant, expliquant qu'elle avait davantage peur d'affronter sa mère, compte tenu de ses problèmes personnels et familiaux, que F______. Sa version est corroborée par les déclarations de ce dernier, lequel a aussi affirmé que son père avait ôté une partie des habits de la plaignante et puis les avait regardés faire l'amour. On relèvera aussi que les témoins O______ et P______ ont tous deux indiqué que l'intimée n'avait pas tendance au mensonge ou à l'exagération. Enfin, l’épouse de l’appelant a aussi concédé que F______ n'aurait jamais agi comme il l'avait fait si son père n'avait pas été là. Le fait que l’examen gynécologique n’a rien donné n’est ni à charge ni à décharge et l’appelant ne peut rien tirer en sa faveur du témoignage indirect de N______, qui a rapporté les confidences de la plaignante selon lesquelles l’appelant aurait dit à son fils, dans la chambre, que ce n’était pas bien de faire ça, notamment lorsque la victime se débattait.</w:t>
      </w:r>
    </w:p>
    <w:p>
      <w:r>
        <w:t>Le rôle de l'appelant a été en l'espèce décisif, ayant aidé et encouragé son fils handicapé à entretenir un premier rapport sexuel avec une adolescente qu'il connaissait de vue. En tant que seul adulte présent, l'appelant avait parfaitement conscience de la situation et du fait que son comportement avait pour effet de valider, aux yeux de son fils, son action. Il a aussi augmenté la contrainte sur la victime, déjà vulnérable de par son âge et sa situation personnelle. Enfin, l'appelant était parfaitement conscient du fait que la plaignante, n'était pas consentante. Les déclarations de l'intimée B______, qui a soutenu de manière constante qu'elle pleurait et se débattait, l'emportent sur celles de l'appelant qui, pour les besoins de la cause, a adapté son récit jusqu'à prétendre que la plaignante n'aurait eu de cesse d'insister pour coucher avec son fils. A cela s'ajoute le fait que le contexte de la soirée, les préoccupations et l'état de l'adolescente, ainsi que le handicap du jeune F______ sont autant d'éléments qui discréditent cette thèse. Enfin, les prétendues velléités sexuelles de la plaignante sont clairement infirmées par l'ensemble de son comportement.</w:t>
      </w:r>
    </w:p>
    <w:p>
      <w:r>
        <w:t>Ainsi, pour la CPAR, l'appelant a collaboré intentionnellement au viol commis par son fils dans des conditions et dans une mesure qui le font apparaître comme un participant principal.</w:t>
      </w:r>
    </w:p>
    <w:p>
      <w:r>
        <w:t>Partant, le verdict de culpabilité sera confirmé en tant qu’il a reconnu l’appelant coupable de viol commis en commun.</w:t>
      </w:r>
    </w:p>
    <w:p>
      <w:r>
        <w:t>- 20/28 - P/392/2011</w:t>
      </w:r>
    </w:p>
    <w:p>
      <w:r>
        <w:rPr>
          <w:b/>
        </w:rPr>
        <w:t>E. 3.1</w:t>
      </w:r>
    </w:p>
    <w:p>
      <w:r>
        <w:t>L'art. 123 CP réprime les lésions du corps humain ou de la santé qui ne peuvent être qualifiées de graves au sens de l’art. 122 CP.</w:t>
      </w:r>
    </w:p>
    <w:p>
      <w:r>
        <w:t>Les voies de fait, réprimées par l'art. 126 CP, se définissent comme des atteintes physiques, inoffensives et passagères, qui excèdent ce qui est socialement toléré, mais qui ne causent ni lésions corporelles, ni dommage à la santé. Une telle atteinte peut exister même si elle n'a causé aucune douleur physique (ATF 134 IV 189 consid. 1.2 p. 191; 119 IV 25 consid. 2a p. 26; 117 IV 14 consid. 2a p. 15 ss). A titre d'exemples de voies de fait, on peut citer la gifle, le coup de poing ou de pied, les fortes bourrades avec les mains ou les coudes (arrêt du Tribunal fédéral non publié du 7 février 2012, 6B_525/2011, consid. 4.1).</w:t>
      </w:r>
    </w:p>
    <w:p>
      <w:r>
        <w:t>La distinction entre lésions corporelles et voies de fait peut se révéler délicate, notamment lorsque l'atteinte 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p. 26/27, arrêt du Tribunal fédéral non publié 6B_517/2008 du 27 août 2008, consid. 3.3.).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précité ; en l’occurrence le médecin avait constaté que la victime présentait un hématome sous-orbitaire gauche, avec palpation douloureuse de l'os malaire, et qu'il ressentait des douleurs dans la région du cou et du coccyx.).</w:t>
      </w:r>
    </w:p>
    <w:p>
      <w:r>
        <w:rPr>
          <w:b/>
        </w:rPr>
        <w:t>E. 3.2</w:t>
      </w:r>
    </w:p>
    <w:p>
      <w:r>
        <w:t>En l’espèce, il ressort des déclarations constantes de l’intimée C______ que l’appelant, qui avait bu plus que d’habitude le soir du 7 novembre 2013, s’est montré agressif à son égard, lui a arraché ses habits et lui a donné un coup de poing au niveau de la lèvre supérieure droite. Les gendarmes D______ et E______ ont confirmé que l’appelant était aviné et violent ce soir-là ainsi que le fait que l’intimée s’était réfugiée chez une voisine. Quant à l’appelant, il n’a pas cessé de varier dans ses déclarations, indiquant d’abord qu’il ne se souvenait pas de ce qu’il avait fait puis accusant sa femme de mentir et d’avoir mis en scène une agression, en se déchirant les habits et se donnant des tapes sur le visage avant de sortir de l’appartement.</w:t>
      </w:r>
    </w:p>
    <w:p>
      <w:r>
        <w:t>- 21/28 - P/392/2011</w:t>
      </w:r>
    </w:p>
    <w:p>
      <w:r>
        <w:t>Pour ces motifs, la Cour retient la version constante, détaillée et mesurée de la plaignante, qui n’avait pas besoin du prétexte de la plainte pénale pour pouvoir se séparer de son époux. Son récit, corroboré par celui des gendarmes, l’emporte sur celui de l’appelant. Le coup de poing n’ayant provoqué qu’une douleur passagère, il sera qualifié de voies de fait, le jugement entrepris étant réformé sur ce point.</w:t>
      </w:r>
    </w:p>
    <w:p>
      <w:r>
        <w:t>On rappellera que l’appelant ne conteste pas en appel son comportement à l’égard des gendarmes qui l’ont interpellé (ch. B.III de l’acte d’accusation), qualifié correctement par les premiers juges de violence ou menace contre les autorités ou les fonctionnaires et d’injure (art. 285 et 177 CP), de sorte que le verdict de culpabilité sera confirmé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4.1.2.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w:t>
      </w:r>
    </w:p>
    <w:p>
      <w:r>
        <w:t>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w:t>
      </w:r>
    </w:p>
    <w:p>
      <w:r>
        <w:t>- 22/28 - P/392/2011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w:t>
      </w:r>
    </w:p>
    <w:p>
      <w:r>
        <w:rPr>
          <w:b/>
        </w:rPr>
        <w:t>E. 4.2</w:t>
      </w:r>
    </w:p>
    <w:p>
      <w:r>
        <w:t>En l’espèce, la faute de l’appelant est lourde. Il s’en est pris à l'intégrité sexuelle de sa victime, passant outre la libre détermination de celle-ci. Il a profité de son statut d’adulte et de père pour fournir à son fils handicapé l’occasion d’avoir un rapport sexuel. En assistant et en encourageant son fils à accomplir l’acte sexuel avec une jeune fille non consentante, il a agi de manière ignoble et indigne de la part d'un père. Les mobiles sont égoïstes et son action a porté préjudice aussi bien à la victime qu’à son propre fils, lequel a d’abord été emprisonné puis placé en institution suite à ces faits. L’appelant s'obstine à nier les faits et n'a pas pris conscience de la gravité de ses actes, insistant à rejeter la faute sur la plaignante. Sa collaboration a été mauvaise.</w:t>
      </w:r>
    </w:p>
    <w:p>
      <w:r>
        <w:t>L’infraction de viol, passible d’une peine privative de liberté de un à dix ans, entre en concours avec l’infraction de violence ou menace contre les autorités ou les fonctionnaires (art. 258 CP), ce qui justifie une aggravation de la peine (art. 49 CP). Il y a en outre la circonstance aggravante de la commission en commun au sens de l’art. 200 CP. Le prévenu ne peut se prévaloir d'aucune circonstance atténuante. Il a en outre un antécédent judiciaire pour des actes de violence.</w:t>
      </w:r>
    </w:p>
    <w:p>
      <w:r>
        <w:t>Sa responsabilité est pleine et entière, aux dires d’expert, pour les actes commis dans la nuit du 20 au 21 avril 2013, soit pour le viol en commun. Elle est en revanche légèrement restreinte pour l’infraction, moins grave, à l’art. 285 CP, pour laquelle la culpabilité de l’appelant est atténuée et sa faute moindre.</w:t>
      </w:r>
    </w:p>
    <w:p>
      <w:r>
        <w:t>Compte tenu de ces circonstances, c’est une peine privative de liberté de trois ans et neuf mois qui sera prononcée, étant rappelé que l’infraction de lésions corporelles simples, retenue en première instance, a été déqualifiée en voies de fait, passibles de l’amende uniquement et que l’injure ne peut être sanctionnée que d’une peine</w:t>
      </w:r>
    </w:p>
    <w:p>
      <w:r>
        <w:t>- 23/28 - P/392/2011 pécuniaire. Vu la quotité de la peine infligée, supérieure à trois ans, la question du sursis, même partiel, ne se pose pas (art. 42 et 43 CP). En tout état de cause, si les conditions d'application de l'une ou l'autre des mesures prévues aux art. 56 ss CP sont remplies, comme en l’espèce (cf. ci-dessous), le pronostic est nécessairement négatif, ce qui exclut le prononcé du sursis.</w:t>
      </w:r>
    </w:p>
    <w:p>
      <w:r>
        <w:t>L’injure, qui n’est passible que d’une peine pécuniaire, sera sanctionnée séparément, par le prononcé d’une peine pécuniaire de 30 jours-amende à CHF 30.- l’unité, compte tenu de la situation financière de l’appelant. Une amende de CHF 1'000.-, sera fixée pour l’infraction à l’art. 126 CP, et ce compte tenu de l’ensemble des circonstances, notamment du fait que l’appelant s’en est de nouveau pris à son épouse, qu’il avait déjà maltraitée par le passé. 5. 5.1.1. Les art. 59 et 60 CP prévoient des mesures thérapeutiques institutionnelles pour les délinquants souffrant de graves troubles mentaux ou d’addictions diverses. S’agissant en particulier du traitement des addictions prévu à l’art. 60 CP, l’auteur doit avoir commis un crime ou un délit en rapport avec son état, le traitement devant être susceptible de le détourner de la commission d’autres infractions en relation avec cet état (art. 60 al. 1 CP). Le juge doit en outre tenir compte de la demande et de la motivation de l’auteur (art. 60 al. 2 CP).</w:t>
      </w:r>
    </w:p>
    <w:p>
      <w:r>
        <w:t>En application du principe de proportionnalité, le juge peut ordonner un traitement ambulatoire (art. 63 CP), cette mesure étant moins incisive qu’un traitement institutionnel.</w:t>
      </w:r>
    </w:p>
    <w:p>
      <w:r>
        <w:t>5.1.2. La mesure prononcée doit se fonder sur une expertise (art. 56 al. 3 CP) et respecter le principe de la proportionnalité (art. 56 al. 2 CP). La jurisprudence a eu l'occasion de préciser qu'il faut que l'atteinte aux droits de la personnalité qui résulte de la mesure pour l'auteur ne soit pas disproportionnée au regard de la vraisemblance qu'il commette de nouvelles infractions et de leur gravité (art. 56 al. 2 CP; arrêt du Tribunal fédéral 6B_555/2008 du 23 septembre 2008 consid. 2.1; arrêt du Tribunal fédéral 6B_604/2007 du 9 janvier 2008 consid. 6.2).</w:t>
      </w:r>
    </w:p>
    <w:p>
      <w:r>
        <w:t>5.1.3. Le juge n’est en principe pas lié par le résultat d’une expertise (arrêt du Tribunal fédéral 6B_993/2010 du 10 février 2011 consid. 3.2.1). S’il entend s’en écarter, il doit motiver sa décision, sous peine de verser dans l’arbitraire, ce qui n’est pas le cas lorsque des circonstances bien établies viennent en ébranler la crédibilité (ATF 129 I 49 consid. 4 p. 57 ; ATF 128 I 81 consid. 2 p. 86), notamment lorsque l’expertise contient des contradictions et qu’une détermination ultérieure de son auteur vient la contredire sur des points importants ou qu’elle se fonde sur des pièces et des témoignages dont le juge apprécie autrement la valeur probante ou la portée (ATF 101 IV 129 consid. 3a p. 130). En revanche, si les conclusions d’une expertise judiciaire apparaissent douteuses sur des points essentiels, le juge doit recueillir des</w:t>
      </w:r>
    </w:p>
    <w:p>
      <w:r>
        <w:t>- 24/28 - P/392/2011 preuves complémentaires pour tenter de dissiper ses doutes (ATF 118 Ia 144 consid. 1c p. 146).</w:t>
      </w:r>
    </w:p>
    <w:p>
      <w:r>
        <w:t>5.2. En l’espèce, l’expert, relevant, d’une part, l’existence d’un grave trouble mental au moment des faits, soit une dysthymie et un syndrome de dépendance à l’alcool, et, d’autre part, un risque de récidive de commettre tout type de nouvelles infractions, en particulier des violences conjugales, a préconisé un traitement institutionnel spécialisé dans la prise en charge des personnes alcooliques, susceptible de diminuer le risque de récidive. L’expert, dont les conclusions ne prêtent pas le flanc à la critique, a clairement écarté le traitement ambulatoire, en tout cas dans un premier temps, estimant qu’un placement institutionnel, en milieu fermé ou semi-ouvert, maintenu de manière prolongée, était susceptible de permettre une réelle prise de conscience de l’expertisé par rapport à son addiction.</w:t>
      </w:r>
    </w:p>
    <w:p>
      <w:r>
        <w:t>Ces conclusions doivent être suivies et le placement institutionnel ordonné par les premiers juges confirmé, afin que l’appelant puisse être traité pour sa dépendance à l’alcool, la mesure ayant des chances de succès même sur une base non volontaire selon l’expert. Cette solution est d’autant plus justifiée que le traitement ambulatoire ordonné par le juge pénal en 2010 n’a pas produit l’effet escompté, l’appelant ayant poursuivi sa consommation d’alcool excessive. Le fait qu’il soit abstinent dans le cadre contraignant de la prison n’est pas déterminant, ce d’autant que le risque de rechute est lié à la dépendance psychologique, qu’il convient de traiter. Partant, les conclusions de l’appelant tendant au prononcé d’un traitement ambulatoire sont rejetées. Les premiers juges ayant opté pour un traitement au sens de l’art. 60 CP et faute d’appel du Ministère public, la question d’un placement institutionnel en milieu fermé au sens de l’art. 59 al. 3 CP ne se pose pas. 6. Le montant de l’indemnité pour tort moral allouée à B______ n’étant pas contesté en appel, il sera confirmé.</w:t>
      </w:r>
    </w:p>
    <w:p>
      <w:r>
        <w:t>Compte tenu de l’issue de la procédure, les conclusions de l’appelant tendant à son indemnisation doivent être rejetées (art. 429 CPP). 7. Le maintien en détention pour motifs de sûreté d’A______ a été décidé par ordonnance séparée du 19 décembre 2014. 8. L'appelant, qui succombe pour l’essentiel, supportera les sept-huitièmes des frais de la procédure envers l'État (art. 428 CPP), le solde de ces frais étant laissé à la charge de l’Etat.</w:t>
      </w:r>
    </w:p>
    <w:p>
      <w:r>
        <w:rPr>
          <w:b/>
        </w:rPr>
        <w:t>E. 9</w:t>
      </w:r>
    </w:p>
    <w:p>
      <w:r>
        <w:t>novembre 2010 consid. 3.1.2 et 6B_1092/2009 du 22 juin 2010 consid. 2.2.2).</w:t>
      </w:r>
    </w:p>
    <w:p>
      <w:r>
        <w:rPr>
          <w:b/>
        </w:rPr>
        <w:t>E. 9.1</w:t>
      </w:r>
    </w:p>
    <w:p>
      <w:r>
        <w:t>Me Karim RAHO s’étant constitué en tant qu’avocat de choix, il n’y a pas lieu de l’indemniser pour son activité dans la procédure d’appel (art. 135 CPP).</w:t>
      </w:r>
    </w:p>
    <w:p>
      <w:r>
        <w:t>- 25/28 - P/392/2011</w:t>
      </w:r>
    </w:p>
    <w:p>
      <w:r>
        <w:rPr>
          <w:b/>
        </w:rPr>
        <w:t>E. 9.2</w:t>
      </w:r>
    </w:p>
    <w:p>
      <w:r>
        <w:t>En tant que conseil juridique gratuit de la partie plaignante C______, Me X______ sera indemnisée pour son activité dès la saisine de la juridiction d’appel, soit 4h45 selon sa note d’honoraires du 13 avril 2015, au tarif de CHF 200.- de l’heure pour un chef d’étude, plus 20% pour le forfait courriers et téléphones et 8% de TVA, soit, au total, CHF 1231.-. * * * * *</w:t>
      </w:r>
    </w:p>
    <w:p>
      <w:r>
        <w:t>- 26/28 - P/392/2011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