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AARP/57/2020 vom 4. Februar 2020</w:t>
      </w:r>
    </w:p>
    <w:p>
      <w:r>
        <w:t>GE Cour de justice, 2020-02-04, FR</w:t>
      </w:r>
    </w:p>
    <w:p>
      <w:r>
        <w:rPr>
          <w:b/>
        </w:rPr>
        <w:t xml:space="preserve">Quelle: </w:t>
      </w:r>
      <w:r>
        <w:t>https://mcp.opencaselaw.ch/entscheid/ge_gerichte_AARP_57_2020</w:t>
      </w:r>
    </w:p>
    <w:p>
      <w:r>
        <w:t>FR: GE_GERICHTE AARP/57/2020 du 4 février 2020</w:t>
      </w:r>
    </w:p>
    <w:p>
      <w:r>
        <w:t>IT: GE_GERICHTE AARP/57/2020 del 4 febbraio 2020</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Nonobstant l'absence formelle de conclusion dans ce sens, elle examinera la problématique de l'expulsion dans la mesure où l'appelant a indiqué l'attaquer dans sa déclaration d'appel.</w:t>
      </w:r>
    </w:p>
    <w:p>
      <w:r>
        <w:rPr>
          <w:b/>
        </w:rPr>
        <w:t>E. 2</w:t>
      </w:r>
    </w:p>
    <w:p>
      <w:r>
        <w:t>2.1.1. L'infraction de vol est punissable d'une peine privative de liberté de cinq ans au plus ou d'une peine pécuniaire et celle de violation de domicile d'une peine privative de liberté de trois ans au plus ou d'une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- 14/25 - P/16462/2019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2.1.3. Bien que la récidive ne constitue plus un motif d'aggravation obligatoire de la peine (art. 67 aCP), les antécédents continuent de jouer un rôle très important dans la fixation de celle-ci (M. NIGGLI / H. WIPRÄCHTIGER [éds], Basler Kommentar Strafrecht I : Art. 1-136 StGB, Jugendstrafgesetz, 4ème éd., Bâle 2018,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w:t>
      </w:r>
    </w:p>
    <w:p>
      <w:r>
        <w:t>- 15/25 - P/16462/2019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ATF 144 IV 313 consid. 1.1.2). 2.2.1. Selon l'art. 48 lit.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 ATF 110 IV 9 consid. 2 p. 10). 2.2.2. Le juge attenue la peine si l'auteur a manifesté par des actes un repentir sincère, notamment s'il a réparé le dommage autant qu'on pouvait l'attendre de lui (art. 48 lit. d CP).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 arrêt du Tribunal fédéral 6B_1368/2016 du 15 novembre 2017 consid. 5.1. non publié aux ATF 143 IV 469). 2.2.3. La vulnérabilité du délinquant face à la peine ne doit être retenue comme circonstance atténuante que si elle rend la sanction considérablement plus dure pour lui que pour la moyenne des autres condamnés, par exemple en présence de maladies</w:t>
      </w:r>
    </w:p>
    <w:p>
      <w:r>
        <w:t>- 16/25 - P/16462/2019 graves (cf. arrêt du Tribunal fédéral 6B_533/2011 du 10 novembre 2011 consid. 7.1), de psychoses claustrophobiques ou de surdimutité (arrêts du Tribunal fédéral 6B_1299/2016 du 27 septembre 2017 consid. 2.3.3 ; 6B_71/2016 du 5 avril 2017 consid. 4.2).</w:t>
      </w:r>
    </w:p>
    <w:p>
      <w:r>
        <w:rPr>
          <w:b/>
        </w:rPr>
        <w:t>E. 2.3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ATF 137 II 297 consid. 2.3.4 p. 301 ; arrêt du Tribunal fédéral 6B_420/2017 du 15 novembre 2017 consid. 2.1), pas plus que sa situation économique ou le fait que son insolvabilité apparaisse prévisible (ATF 134 IV 97 consid. 5.2.3 p. 104). 2.4.1. Dans sa nouvelle teneur depuis le 1er janvier 2018,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(arrêt du Tribunal fédéral 6B_932/2018 du 24 janvier 2019 destiné à la publication consid. 2.4). 2.4.2.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w:t>
      </w:r>
    </w:p>
    <w:p>
      <w:r>
        <w:t>- 17/25 - P/16462/2019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w:t>
      </w:r>
    </w:p>
    <w:p>
      <w:r>
        <w:rPr>
          <w:b/>
        </w:rPr>
        <w:t>E. 2.5</w:t>
      </w:r>
    </w:p>
    <w:p>
      <w:r>
        <w:t>La faute de l'appelant est importante. Sorti de prison le 20 juillet 2019, il s'en est une nouvelle fois pris au patrimoine d'autrui, 16 jours plus tard seulement, n'hésitant pas à s'introduire dans les domiciles de deux femmes, chez la première, furtivement, et chez la seconde, très âgée, sous le faux prétexte de travaux à réaliser chez son voisin, profitant de sa crédulité et de sa confiance. Il leur a à toutes deux dérobé leur porte-monnaie, des effets personnels et à l'une d'elles des bijoux. Son butin s'élève à plus de CHF 1'000.- considérant en particulier la valeur des quatre bagues dérobées à la première des plaignantes, d'une valeur d'environ CHF 800.-. Il n'y a à cet égard pas de raison de remettre en cause l'estimation de la plaignante, étant relevé que le prévenu a délibérément choisi de dérober ces bijoux, sertis de pierres, en escomptant assurément en retirer un enrichissement. Il était au demeurant coutumier de la revente de telles valeurs comme l'en attestent ses ventes du 26 janvier 2016, pour un montant total de CHF 532.-, du 19 février 2016 pour CHF 1'150.- et du 7 août 2019 pour CHF 540.35, soit à cette dernière date entre les deux vols pour lesquels il est condamné dans la présente procédure. De plus, il est notoire que dans le cadre de la revente de bijoux d'occasion, ceux-ci sont largement sous-évalués par l'acquéreur.</w:t>
      </w:r>
    </w:p>
    <w:p>
      <w:r>
        <w:t>- 18/25 - P/16462/2019 L'appelant a agi pour un motif égoïste, à savoir son enrichissement rapide. Certes sa situation personnelle était précaire au moment des faits mais il existait d'autres solutions, telle l'aide sociale, le prévenu ne soutenant, ni n'étayant a fortiori s'être tourné une nouvelle fois vers l'Hospice général pour obtenir une aide, fût-elle ponctuelle, à sa sortie de prison. Au contraire, il a prétendu pouvoir dès sa sortie de prison bénéficier d'un emploi. Il n'en a rien été, prétendument en raison des vacances d'un employé. Il n'en demeure pas moins que le prévenu est responsable de ne pas avoir pris les dispositions nécessaires pour avoir un revenu régulier à sa sortie de prison, cas échéant avec l'aide du service social. Il prétend avoir agi pour nourrir ses enfants, alors même qu'il n'a qu'un droit de visite usuel et qu'il ne prétend pas verser une contribution d'entretien en leur faveur. Qui plus est, il dit être sorti de prison avec un pécule de CHF 700.-, ce qui lui permettait de nourrir ses trois enfants pendant plusieurs semaines. Le 5 août 2019, soit sept jours avant le second vol, il a encaissé plus de CHF 500.- des suites d'une vente de bijoux à Genève, ce qui là encore lui permettait de subvenir à leurs besoins, étant relevé que sur cette période il a indiqué ne pas avoir en définitive versé de loyer à sa belle-fille. Comme justement relevé par le MP, sa situation financière n'était ainsi pas obérée au point de n'avoir d'autre choix que de voler pour nourrir ses enfants, preuve en est encore qu'il a pas moins de trois fois (les 5, 7 et 12 août 2019) fait le voyage en train G______ (VD) – Genève et retour pour deux fois, ce qui s'avère onéreux et un non-sens économique dans une situation prétendument désespérée. Ces circonstances ne remplissent nullement les conditions d'une détresse profonde. C'est ainsi vainement que le prévenu se prévaut d'une application de l'article 48 CP. Sa collaboration est bonne, étant toutefois relevé qu'il lui aurait été difficile de contester les faits alors qu'il a été interpellé en possession des effets dérobés aux deux parties plaignantes, le jour du vol de la seconde. Il ne s'agit dans ces circonstances nullement d'aveux qui auraient permis d'élucider des faits qui n'auraient pu l'être, ou alors avec grande difficulté, sans eux. Cette collaboration ne justifie ainsi pas une réduction de peine. Le fait dans ces circonstances d'avoir présenté des excuses aux parties plaignantes n'est pas particulièrement méritoire et ne remplit pas les conditions de la circonstance atténuante du repentir sincère. La prise de conscience de l'appelant est à relativiser, nonobstant les regrets formulés d'emblée, au vu de ses antécédents en particulier pour vol, et vol par métier, lui ayant valu quatre condamnations entre le 14 juillet 2011 et le 12 novembre 2018 en sus d'autres infractions contre le patrimoine notamment, et de la récidive intervenue quelques jours seulement après sa sortie de prison consécutive à la peine privative de liberté de 15 mois prononcée le 12 novembre 2018.</w:t>
      </w:r>
    </w:p>
    <w:p>
      <w:r>
        <w:t>- 19/25 - P/16462/2019 C'est dire qu'il n'a rien retiré de ses six précédentes condamnations, pas plus que des chances qui lui ont été données par l'octroi de sursis, ni encore des peines de prison effectivement subies en lien avec ses deux condamnations de 2018 totalisant plus de deux ans. Lesdites condamnations et une situation personnelle à sa sortie de prison qui ne sera pas plus favorable que celle prévalant au moment des infractions les plus récentes, fondent un pronostic clairement défavorable, étant relevé que le prévenu ne soutient à juste titre pas pouvoir bénéficier du sursis. Dans cette configuration, une peine pécuniaire n'est pas adaptée, et qui plus est ne serait pas honorée faute de moyens financiers. Seule une peine privative de liberté peut encore remplir son rôle de prévention spéciale. Il y a concours d'infractions, facteur aggravant de la peine la plus grave, à savoir celle sanctionnant les deux vols. Comme retenu à juste titre par le premier juge, une peine privative de liberté de six mois sanctionnerait adéquatement ces deux infractions, celles de violations de domicile méritant par elle-même une peine de quatre mois. En application des règles sur le concours, la peine privative de liberté de six mois devrait être portée à huit mois pour sanctionner les nouvelles infractions uniquement et avant de traiter la problématique de la révocation du sursis antérieur. Bien que sachant qu'il risquait d'avoir à subir les 14 mois de peine privative de liberté prononcés avec sursis le 1er février 2018, le prévenu a récidivé, quelques jours seulement après sa dernière sortie de prison. La révocation dudit sursis s'impose donc. Il ne peut en effet être retenu que la seule peine présentement prononcée aurait l'effet dissuasif escompté. Le solde de la peine dont le sursis est révoqué se monte à 14 mois, de sorte que, par simple cumul, la peine globale devrait être fixée à 22 mois de privation de liberté. La peine d'ensemble de 20 mois, telle que prononcée en première instance, est partant pleinement justifiée et sera confirmée.</w:t>
      </w:r>
    </w:p>
    <w:p>
      <w:r>
        <w:rPr>
          <w:b/>
        </w:rPr>
        <w:t>E. 3.1</w:t>
      </w:r>
    </w:p>
    <w:p>
      <w:r>
        <w:t>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w:t>
      </w:r>
    </w:p>
    <w:p>
      <w:r>
        <w:t>- 20/25 - P/16462/2019</w:t>
      </w:r>
    </w:p>
    <w:p>
      <w:r>
        <w:rPr>
          <w:b/>
        </w:rPr>
        <w:t>E. 3.2</w:t>
      </w:r>
    </w:p>
    <w:p>
      <w:r>
        <w:t>Il n'est pas douteux que l'intimé a commis des vols en lien avec des violations de domicile qui font partie des infractions visées par l'art. 66a al. 1 let. d CP, disposition qui ne laisse en principe pas le choix à l'autorité de jugement. Reste à déterminer si l'intéressé peut se prévaloir de la clause échappatoire du cas de rigueur, laquelle doit rester une exception, sauf à dénaturer l'obligation découlant de l'al. 1. Les infractions commises au préjudice de deux femmes, dont l'une très âgée, en pénétrant chez elles, pour l'une à son insu et pour la seconde sous un faux prétexte, pour s'en prendre à leur patrimoine sont d'une certaine gravité. Tout un chacun est en effet censé pouvoir se sentir en sécurité chez soi. Pour le reste, la situation personnelle, comprenant les antécédents, et familiale du prévenu ne diffère en rien de celle jugée en dernier lieu par le Tribunal fédéral dans son arrêt du 27 septembre 2019, alors même qu'il n'avait pas encore commis les actes jugés dans la présente procédure. Ainsi, la situation s'est au contraire péjorée s'agissant de son comportement et de son intégration en Suisse, étant relevé qu'il n'est désormais plus au bénéfice d'un permis B dont le renouvellement pose problème. Son état de santé physique semble par contre amélioré depuis lors ce qui est de nature à permettre une meilleure réintégration dans son pays d'origine. Ainsi, en application des considérants du Tribunal fédéral rappelés supra sous let. D auxquels il est renvoyé expressément et dont il n'y a aucun motif de s'écarter, il y a lieu de confirmer l'expulsion pour 10 ans prononcée par les premiers juges.</w:t>
      </w:r>
    </w:p>
    <w:p>
      <w:r>
        <w:rPr>
          <w:b/>
        </w:rPr>
        <w:t>E. 4</w:t>
      </w:r>
    </w:p>
    <w:p>
      <w:r>
        <w:t>Les motifs ayant conduit le premier juge à prononcer, par ordonnance séparée du 13 décembre 2019, le maintien de l'appelant, en détention pour des motifs de sûreté sont toujours d'actualité, de sorte que la mesure sera reconduite mutatis mutandis (ATF 139 IV 277 consid. 2.2 à 2.3).</w:t>
      </w:r>
    </w:p>
    <w:p>
      <w:r>
        <w:rPr>
          <w:b/>
        </w:rPr>
        <w:t>E. 4.1</w:t>
      </w:r>
    </w:p>
    <w:p>
      <w:r>
        <w:t>et 4.2 et BB.2015.85 du 12 avril 2016 consid. 3.5.2 et 3.5.3).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6.1.4.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- 22/25 - P/16462/2019</w:t>
      </w:r>
    </w:p>
    <w:p>
      <w:r>
        <w:rPr>
          <w:b/>
        </w:rPr>
        <w:t>E. 5</w:t>
      </w:r>
    </w:p>
    <w:p>
      <w:r>
        <w:t>L'appelant, qui succombe, supportera les frais de la procédure envers l'État comprenant un émolument de CHF 2'000.- (art. 428 CPP).</w:t>
      </w:r>
    </w:p>
    <w:p>
      <w:r>
        <w:rPr>
          <w:b/>
        </w:rPr>
        <w:t>E. 6</w:t>
      </w:r>
    </w:p>
    <w:p>
      <w:r>
        <w:t>6.1.1.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- 21/25 - P/16462/2019</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6.2</w:t>
      </w:r>
    </w:p>
    <w:p>
      <w:r>
        <w:t>En application de ces principes il convient de retrancher de l'état de frais de Me C______ :  une visite au détenu à la prison de 1h30, le mois de janvier 2020 en comptant deux ;  6h10 sur les 8h30 consacrées, dans le poste "Procédure" à la "reprise de la procédure", à la consultation du dossier au greffe de la CPAR, à la rédaction "des plaidoiries" et à la préparation de l'audience. Ces activités seront indemnisées à hauteur de 2h20, soit 20 minutes pour la consultation du dossier à la CPAR, dont les pièces sont régulièrement transmises aux parties, à un stade de la procédure qui n'a connu aucun rebondissement, 2h s'avérant pour le reste amplement suffisantes pour préparer les débats d'appel, dans ce dossier censé bien maîtrisé pour avoir été plaidé en première instance un mois et demi plus tôt seulement sur les mêmes points ;  30 minutes sur la durée de l'audience estimée à 2h et qui a duré 1h30 ;  Un forfait déplacement à l'audience à la CPAR de CHF 100.-, ledit forfait s'entendant aller/retour.</w:t>
      </w:r>
    </w:p>
    <w:p>
      <w:r>
        <w:t>En conclusion, l'indemnité sera arrêtée à CHF 1'726.75 correspondant à 6h50 d'activité au tarif de CHF 200.-/heure (CHF 1'366.65), plus la majoration forfaitaire de 10% (compte tenu de l'activité indemnisée en première instance ; CHF 136.65), un forfait déplacement de CHF 100.- et l'équivalent de la TVA au taux de 7.7% en CHF 123.45. * * * * *</w:t>
      </w:r>
    </w:p>
    <w:p>
      <w:r>
        <w:t>- 23/25 - P/16462/2019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