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AARP/579/2014 vom 19. Dezember 2014</w:t>
      </w:r>
    </w:p>
    <w:p>
      <w:r>
        <w:t>GE Cour de justice, 2014-12-19, FR</w:t>
      </w:r>
    </w:p>
    <w:p>
      <w:r>
        <w:rPr>
          <w:b/>
        </w:rPr>
        <w:t xml:space="preserve">Quelle: </w:t>
      </w:r>
      <w:r>
        <w:t>https://mcp.opencaselaw.ch/entscheid/ge_gerichte_AARP_579_2014</w:t>
      </w:r>
    </w:p>
    <w:p>
      <w:r>
        <w:t>FR: GE_GERICHTE AARP/579/2014 du 19 décembre 2014</w:t>
      </w:r>
    </w:p>
    <w:p>
      <w:r>
        <w:t>IT: GE_GERICHTE AARP/579/2014 del 19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w:t>
      </w:r>
    </w:p>
    <w:p>
      <w:r>
        <w:t>- 24/35 - P/16210/2012 solution retenue peut être justifiée de façon soutenable par un ou plusieurs arguments de nature à emporter la conviction (ATF 129 I 8).</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t>2.2.1.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2.2.2. L’art. 187 ch. 1 CP sanctionne celui qui aura commis un acte d’ordre sexuel sur un enfant de moins de seize ans, celui qui aura entraîné un enfant de cet âge à commettre un tel acte ainsi que celui qui y aura mêlé un enfant de cet âge.</w:t>
      </w:r>
    </w:p>
    <w:p>
      <w:r>
        <w:t>- 25/35 - P/16210/2012 L’acte sexuel, selon la définition donnée ci-dessus (ch. 2.2),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 l’acte, mais aussi sur le fait que la victime est âgée de moins de seize ans, le dol éventuel étant suffisant. L’art. 187 CP protège le développement des mineurs mais non leur libre détermination en matière sexuelle. En conséquence, cette disposition est appliquée en concours avec l’art. 189 ou 190 CP (B. CORBOZ, op. cit., n. 60 ad art. 187). 2.2.3.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w:t>
      </w:r>
    </w:p>
    <w:p>
      <w:r>
        <w:t>- 26/35 - P/16210/2012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fédérale, il n’est pas exclu que la contrainte au sens de l'art. 181 CP soit réalisée par plusieurs comportements distincts de l'auteur. Toutefois, en l'absence d'une norme spécifique réprimant de tels faits en tant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 2.3.1. En l’espèce, l’intimée B______ a soutenu une version des faits cohérente et constante, sans exagération, depuis ses premières déclarations à la police jusqu'à celles faites lors de l'audience de jugement. D’ailleurs, la partie plaignante, qui a décrit dans le détail le déroulement d’une relation amoureuse avec un homme plus âgé, n’est pas à l’origine du dépôt de plainte et n’a jamais été animée par un quelconque sentiment de vengeance, les faits ayant été dénoncés par sa mère, sur initiative d’une assistante sociale de l’Hôpital cantonal, ce qui est confirmé par un courrier de la Dresse O______. B______ s’est exprimée longuement à la police, et a complété ses déclarations suite aux questions qui lui ont été posées par l'inspectrice qui prenait sa déposition. A ce stade, la partie plaignante s'est livrée sans réserve et avec discernement, fournissant de nombreux détails. Par la suite, les déclarations de la partie plaignante ont progressé au fur et à mesure de l'évolution de la procédure, toujours dans le cadre d'un même fil conducteur, s'enrichissant seulement des souvenirs qui pouvaient se raviver en fonction des questions qui lui étaient posées ou des précisions qu'elle ajoutait. Les détails fournis sont nombreux et pour certains difficiles à imaginer, comme la crème sur le pénis du prévenu, la pose d’un matelas dans le salon de l’appartement, l’utilisation du prénom « P______ », l’existence d’un studio dans lequel elle avait eu un seul rapport sexuel avec l’appelant ou encore la réaction de ce dernier au sujet de sa virginité. En outre, l’enquête a révélé de nombreux éléments de concordance avec le récit de la plaignante. Ainsi, les déclarations de l’infirmière et de la doctoresse scolaires corroborent la version de l’intimée B______ selon laquelle elle entretenait des rapports sexuels avec un homme plus âgé rencontré dans un centre commercial. Il est aussi établi que c’est le numéro de téléphone portable de la jeune fille qui était inscrit sur la feuille en possession des autorités scolaires, à la place du numéro de la mère, et que le médecin scolaire avait bien envoyé une convocation à la mère de l’intimée</w:t>
      </w:r>
    </w:p>
    <w:p>
      <w:r>
        <w:t>- 27/35 - P/16210/2012 pour le 26 novembre 2012, qui a été interceptée. La chronologie décrite par la plaignante, d’une rencontre avec l’appelant à fin mars 2012 et d’un premier rapport sexuel intervenu durant les vacances de Pâques, qui avaient eu lieu cette année-là du</w:t>
      </w:r>
    </w:p>
    <w:p>
      <w:r>
        <w:rPr>
          <w:b/>
        </w:rPr>
        <w:t>E. 2.4</w:t>
      </w:r>
    </w:p>
    <w:p>
      <w:r>
        <w:t>Au vu de ce qui précède, le verdict de culpabilité prononcé en première instance sera entièrement confirmé, étant précisé que l’infraction à la LCR n’est pas contestée en appel.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3.1.2. D'après l'art. 49 al. 1 CP, si, en raison d'un ou de plusieurs actes, l'auteur remplit les conditions de plusieurs peines de même genre, le juge le condamne à la peine de l'infraction la plus grave et l'augmente dans une juste proportion.</w:t>
      </w:r>
    </w:p>
    <w:p>
      <w:r>
        <w:t>3.2. La faute de l’appelant est particulièrement lourde. Par son comportement, il a porté atteinte à des biens juridiques protégés importants pour des mobiles égoïstes consistant à assouvir ses propres envies, au détriment de l’intégrité sexuelle et du développement d’une enfant. Les actes perpétrés à l’encontre de l’intimée B______ se sont déroulés sur une période longue, de près d’un an, alors qu’il en connaissait le caractère illicite pour avoir demandé à la victime de ne pas en parler à des tiers. Il a agi au détriment d'une enfant, sans expérience sexuelle contrairement à lui, en commettant l'acte sexuel complet à maintes reprises alors que cela faisait très souvent mal à la jeune fille, tout en la culpabilisant, alors qu'il savait qu'elle était mineure et qu'il était de presque trente ans son aîné. De plus, il a fait preuve de mépris de la liberté d'autrui en ce qui concerne l’intimée C______ ainsi que de la législation en vigueur en matière de circulation routière et aurait pu mettre la vie d'autrui en danger par son comportement.</w:t>
      </w:r>
    </w:p>
    <w:p>
      <w:r>
        <w:t>- 30/35 - P/16210/2012</w:t>
      </w:r>
    </w:p>
    <w:p>
      <w:r>
        <w:t>Sa collaboration doit être qualifiée de mauvaise et son comportement tout au long de la procédure démontre une absence totale de prise de conscience, les rapports médicaux produits en appel ne conduisant pas à une autre appréciation. Son comportement est d’autant moins explicable qu’il bénéficiait du soutien sans faille de son épouse et d’une vie de famille stable, ses difficultés d’ordre professionnel ou médical n’ayant rien de particulier. Les infractions reprochées entrent en concours, étant rappelé que le viol est passible d’une peine privative de liberté pouvant aller jusqu’à 10 ans et les actes d’ordre sexuel avec un enfant d’une peine jusqu’à 5 ans. L’appelant a été mis au bénéfice d’une responsabilité légèrement restreinte, ce qui lui est acquis. La peine privative de liberté de 4 ans fixée en première instance tient compte de l’ensemble des éléments précités et sera confirmée. Une exemption de peine pour l’infraction à la LCR n’entre pas en considération, l’appelant ayant conduit alors que son état d’alcoolisation ne le permettait pas. Le fait qu’il ait initialement voulu rentrer à pied n’y change rien. 3.3. La mesure n’étant pas contestée, elle sera confirmée, de même que les conclusions civiles de l’intimée B______. 4. Vu l'issue de la procédure d'appel, les prétentions en indemnisation formulées par l’appelant sont infondées et doivent être rejetées (art. 429 CPP).</w:t>
      </w:r>
    </w:p>
    <w:p>
      <w:r>
        <w:t>L'appelant, qui succombe, supportera en outre les frais de la procédure envers l'État (art. 428 CPP).</w:t>
      </w:r>
    </w:p>
    <w:p>
      <w:r>
        <w:rPr>
          <w:b/>
        </w:rPr>
        <w:t>E. 5</w:t>
      </w:r>
    </w:p>
    <w:p>
      <w:r>
        <w:t>au 13 avril 2012, s’accorde avec un départ de l’appelant pour le ______ à la fin du mois d’avril. L’intimée B______ avait d’ailleurs indiqué à l’infirmière scolaire que l’appelant se trouvait alors en X______. La procédure a aussi établi que l’appelant utilisait le prénom « P______ », qu’il s’épilait les parties génitales, ou qu’il avait une amie qui habitait dans un studio dans le quartier des ______, correspondant à la description qu’en avait fait la plaignante. Par ailleurs, les absences scolaires de l’intimée passent de zéro à 24 durant l'année scolaire 2011-2012, soit de zéro au premier trimestre 2011 à 20 au troisième trimestre qui s'étend de mars à juin 2012, et coïncident avec la rencontre avec l’appelant. Durant l'année scolaire 2012-2013, ses absences s'élèvent à 66, soit 36 jusqu'à décembre 2012 et 30 jusqu'en mars 2013. Ainsi, la Cour tient pour sincères et cohérentes les déclarations de la plaignante B______, lesquelles n'ont jamais varié sur les faits essentiels. Le fait qu’elle n’ait pas dit toute la vérité aux autorités scolaires, notamment s’agissant de l’usage du préservatif, ou à sa mère, à tout le moins dans un premier temps, est compréhensible dès lors qu’elle voulait éviter une dénonciation, l’aspect pénal de sa relation avec l’appelant lui ayant été signalé par l’infirmière et le médecin scolaires. Quant aux quelques variations sur la fréquence et les heures des rencontres avec l’appelant, elles s’expliquent par la répétition et la durée de la relation, ce qui peut conduire à mélanger certains détails. On relèvera toutefois que, de manière générale, l’intimée a fourni un récit très riche de détails et a fait preuve d’une très bonne mémoire pour les dates, ce qui est compréhensible pour une très jeune fille qui vivait sa première relation sexuelle. A l’inverse, l’appelant n’a pas cessé d’adapter son récit au gré de l'évolution de la procédure, que ce soit s’agissant du studio de son amie E______, du prénom « P______ » ou des circonstances dans lesquelles la plaignante avait pu observer ses parties génitales. Il n’a pas hésité, lors de sa première audition par la police, à fournir un portrait invraisemblable de la jeune B______, laquelle, en sus d’avoir été violée par son beau-père depuis l’âge de 7 ans, l’aurait été aussi par un oncle, et elle serait tombée enceinte d’un garçon de 16 ans, aurait avorté à l’insu de tous, et lui aurait décrit les sexes de ses – nombreux – copains ______. Or, aucun élément du dossier ne vient étayer, ne serait-ce que partiellement, cette description. En particulier, s’agissant des prétendus abus sexuels que l’intimée B______ aurait subis de la part de son beau-père, que la procédure introduite contre l’appelant tenterait de masquer, on relèvera que la victime n’en a pas fait état à l’infirmière et au médecin scolaires, auxquelles elle s’est en revanche confiée sur sa relation avec un homme plus mûr, rencontré dans un centre commercial. En outre, l’intimée B______ a expliqué</w:t>
      </w:r>
    </w:p>
    <w:p>
      <w:r>
        <w:t>- 28/35 - P/16210/2012 spontanément, dès sa première audition par la police, que c’est l’appelant qui avait soutenu, se fiant à ce qu’un marabout ______ lui aurait dit, qu’elle couchait avec son père dès l’âge de 7 ans. En ce qui concerne le viol, la plaignante a expliqué, dès sa première audition, que de retour de ses vacances d’été au ______, alors qu’elle ne voulait plus avoir de rapports sexuels avec l’appelant, celui-ci était passé outre son refus, l’avait déshabillée de force, immobilisée, et pénétrée alors qu’elle l’avait repoussé, griffé et pincé et qu’elle pleurait. Les déclarations de l’intimée sont tout aussi crédibles à cet égard, dès lors qu’elle n’avait aucun intérêt à inventer un rapport forcé alors qu’elle a reconnu qu’il ne l’avait jamais contrainte auparavant. Par ailleurs, l’intimée n’a pas elle-même qualifié cet événement de viol, décrivant cet épisode comme un fait parmi d’autres. Enfin, les parties concordent pour dire que leur relation s’était refroidie après le retour de la plaignante des vacances. Pour ces motifs, la Cour retient, à l’instar des premiers juges, que l’appelant a entretenu des rapports sexuels avec l’intimée B______, dont il connaissait l’âge, ce qui ressort des déclarations de son épouse, pendant plusieurs mois et qu’il a, à une reprise en septembre 2012, passé outre le refus, les pleurs et le fait que la plaignante se soit débattue lors d’un rapport sexuel, se rendant coupable de viol (art. 190 CP) et d'actes d'ordre sexuel avec un enfant (art. 187 CP). 2.3.2. S’agissant de la plainte déposée par l’intimée C______, on relèvera d’emblée que l’intéressée a interpellé sa fille, les videurs de la discothèque et la police, en plein milieu de la nuit, soit immédiatement après les faits, et qu’elle était visiblement secouée selon les témoins entendus. Elle n’avait aucune raison d’accuser injustement un homme qu’elle n’avait jamais vu auparavant. En outre, alors que l’appelant admet pratiquer le Vaudou, rien n’indique que l’intimée C______ était une adepte de la voyance, proposant ses services dans ce domaine à un inconnu à sa sortie de discothèque vers 03h00 du matin. L’appelant a soutenu que la plaignante C______ lui avait ouvert la portière du côté passager, puis avait fait le tour de sa voiture pour s’assoir du côté conducteur. Cette version est contredite par les explications fournies par l’intimée, selon lesquelles l’appelant s’était assis sur elle à l’intérieur de sa voiture, du côté passager, la portière du côté conducteur étant bloquée. Or, le témoin L______, qui n’avait aucun intérêt à mentir, a confirmé qu’il avait « collé » son véhicule contre la voiture de l’intimée C______, bloquant ainsi l’ouverture de la portière du côté conducteur. Force est ainsi de constater que les déclarations de la plaignante C______ sont crédibles et corroborées par les autres éléments du dossier, contrairement à celles de l’appelant. Rien n’atteste non plus que ce dernier aurait lui-même voulu appeler la</w:t>
      </w:r>
    </w:p>
    <w:p>
      <w:r>
        <w:t>- 29/35 - P/16210/2012 police ou aurait été sur le point de le faire, comme il le soutient. Bien au contraire, après avoir quitté les lieux rapidement, l’appelant s’est opposé à son interpellation par la police à son domicile. En poussant la plaignante dans sa voiture, en y pénétrant ensuite contre la volonté de cette dernière, en s’assoyant sur elle, en la tenant par les poignets et en l’empêchant de s’extraire du véhicule et d’appeler sa fille, l’appelant a entravé illicitement la liberté d’action de la plaignante. C’est ainsi à juste titre que les premiers juges l’ont reconnu coupable de contrainte.</w:t>
      </w:r>
    </w:p>
    <w:p>
      <w:r>
        <w:rPr>
          <w:b/>
        </w:rPr>
        <w:t>E. 5.1</w:t>
      </w:r>
    </w:p>
    <w:p>
      <w:r>
        <w:t>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w:t>
      </w:r>
    </w:p>
    <w:p>
      <w:r>
        <w:rPr>
          <w:b/>
        </w:rPr>
        <w:t>E. 5.2</w:t>
      </w:r>
    </w:p>
    <w:p>
      <w:r>
        <w:t>L'indemnité est calculée selon le tarif horaire de CHF 200.- pour un chef d'étude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5.3</w:t>
      </w:r>
    </w:p>
    <w:p>
      <w:r>
        <w:t>Me D______ a été désignée conseil juridique gratuit de l'intimée B______ le 5 mars 2013. Son état de frais, s'agissant de l'activité déployée devant la juridiction d'appel, est composé de 3 heures 35 d’activité de chef d’étude et de 18 heures d’activité de collaboratrice. L'activité exercée par le conseil de la plaignante dans le cadre de la présente procédure est en adéquation avec la nature, l'importance et la difficulté de la cause. Seules 35 minutes d’activité de cheffe d’étude consacrées à la correspondance doivent être retranchées, car comprises dans le forfait y relatif. Le temps prévu par</w:t>
      </w:r>
    </w:p>
    <w:p>
      <w:r>
        <w:t>- 32/35 - P/16210/2012 anticipation pour l’audience du 16 décembre 2014 doit en revanche être porté à 5 heures. Par conséquent, l'état de frais sera admis à concurrence de 3 heures d'activité de cheffe d'étude et de 20 heures d’activité de collaboratrice, ce qui correspond à une indemnité de CHF 3'100.-. Il convient d'ajouter à ce montant l'indemnisation forfaitaire de 10 %, fixée en tenant compte de l’ensemble de l’activité déployée par le conseil de la plaignante durant l’instruction préliminaire et la procédure de première instance, qui dépasse 30 heures, soit CHF 310.-, ainsi que la TVA à hauteur de CHF 272.80. * * * * *</w:t>
      </w:r>
    </w:p>
    <w:p>
      <w:r>
        <w:t>- 33/35 - P/16210/2012</w:t>
      </w:r>
    </w:p>
    <w:p>
      <w:r>
        <w:rPr>
          <w:b/>
        </w:rPr>
        <w:t>E. 6</w:t>
      </w:r>
    </w:p>
    <w:p>
      <w:r>
        <w:t>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 juillet 2014.</w:t>
      </w:r>
    </w:p>
    <w:p>
      <w:r>
        <w:t>- 31/35 - P/16210/2012 Les mêmes considérations valent pour l’indemnisation du conseil juridique gratuit de la partie plaignante (art. 138 a.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