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AARP/578/2014 vom 24. Februar 2015</w:t>
      </w:r>
    </w:p>
    <w:p>
      <w:r>
        <w:t>GE Cour de justice, 2015-02-24, FR</w:t>
      </w:r>
    </w:p>
    <w:p>
      <w:r>
        <w:rPr>
          <w:b/>
        </w:rPr>
        <w:t xml:space="preserve">Quelle: </w:t>
      </w:r>
      <w:r>
        <w:t>https://mcp.opencaselaw.ch/entscheid/ge_gerichte_AARP_578_2014</w:t>
      </w:r>
    </w:p>
    <w:p>
      <w:r>
        <w:t>FR: GE_GERICHTE AARP/578/2014 du 24 février 2015</w:t>
      </w:r>
    </w:p>
    <w:p>
      <w:r>
        <w:t>IT: GE_GERICHTE AARP/578/2014 del 24 febbraio 2015</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L'appelant joint ne conteste pas l'acquittement du chef d’escroquerie pour les faits décrits dans l'ordonnance pénale du 21 octobre 2011 dont l'appelant principal a bénéficié en première instance. Ce dernier ne remet quant à lui pas en cause sa condamnation des chefs de vol et d'utilisation frauduleuse d'un ordinateur. Le raisonnement du premier juge sera donc confirmé sur ces points, dès lors qu'il consacre une correcte application du droit.</w:t>
      </w:r>
    </w:p>
    <w:p>
      <w:r>
        <w:rPr>
          <w:b/>
        </w:rPr>
        <w:t>E. 2</w:t>
      </w:r>
    </w:p>
    <w:p>
      <w:r>
        <w:t>2.1.1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w:t>
      </w:r>
    </w:p>
    <w:p>
      <w:r>
        <w:t>- 11/20 - P/14844/2011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par exemple une faiblesse d'esprit, l'inexpérience ou la sénilité, un état de dépendance, d'infériorité ou de détresse. Une coresponsabilité de la dupe n'exclut toutefois l'astuce que dans des cas exceptionnels, lorsque la légèreté de la victime fait passer à l'arrière-plan le comportement de l'auteur (arrêt du Tribunal fédéral 6B_409/2013 du 25 septembre 2014 consid. 3.2 et les références citées). 2.1.2 En l'espèce, du fait de sa situation patrimoniale difficile et au vu du contexte familial dramatique dans lequel elle évoluait à l'époque de sa rencontre avec l'appelant, B______ se trouvait dans une position de faiblesse. C'est en pleine connaissance de cause que l'appelant s'est présenté à elle sous la fausse identité du Professeur G______, neurochirurgien à la clinique F______. Avant même de faire formellement sa connaissance, la plaignante s'était d'ailleurs vu désigner ce dernier comme un médecin, l'amenant aussitôt à penser que son statut était notoire. Le fait qu'au moment de leur rencontre, l'appelant était accompagné d'une femme qu'il a immédiatement présentée comme étant sa patiente, qu’il venait d’opérer, n'a ainsi fait que la conforter dans l'idée qu'elle s'en était préalablement faite. La plaignante s'est rapidement confiée à l'appelant en évoquant l'état de santé désastreux de son époux et la nécessité pour celui-ci d'être rapidement pris en charge par un centre spécialisé, mais aussi les difficultés financières auxquelles elle était confrontée. Se sachant apparaître à ses yeux comme un messie, l'appelant n'a pas hésité à exploiter son état de détresse. Il a assuré auprès d'elle une présence constante et rassurante, se rendant quasiment quotidiennement dans le restaurant où elle travaillait et s'enquérant sans cesse de la santé de son époux, prenant ainsi le temps d'établir avec elle une solide relation de confiance avant de passer à l'acte. L'appelant a ainsi affirmé à sa victime qu'il mettrait son époux en contact avec le Professeur H______, spécialiste de la sclérose en plaques, et qu'il activerait les fondations I______ et J______, lesquelles seraient à même de prendre en charge l'entier des frais d'hospitalisation de son époux à la clinique spécialisée de K______. Il a en outre pris soin d'asseoir le statut imposant du personnage qu'il s'était créé de toute pièce et dont il connaissait l'effet sur sa victime, en affichant une situation financière très confortable. Ne se privant pas de lui offrir repas au restaurant et autres présents, l'appelant s'est livré à une véritable mise en scène, construite sur la base d'un édifice de mensonges finement étudié.</w:t>
      </w:r>
    </w:p>
    <w:p>
      <w:r>
        <w:t>- 12/20 - P/14844/2011 Les recherches auxquelles la plaignante a procédé sont nombreuses. L'appelant basant en grande partie ses propos fallacieux sur des personnes ou entités existantes, soit notamment le Professeur H______ ou encore les fondations I______ et J______, ces recherches l’ont à plusieurs reprises confortée. Quand toutefois elles n'étaient pas concluantes, l'appelant usait d'assertions convaincantes et pour le moins invérifiables. Le comportement adopté par l'appelant est ainsi clairement constitutif d'une tromperie astucieuse. Son habillement quelque peu négligé, tout comme le fait qu'il se rendait régulièrement au restaurant et y consommait volontiers un ou deux verres de vin ne permettent en particulier pas de s'écarter de cette constatation, ce d'autant plus qu'il se prétendait en vacances. Le fait qu'il n'ait pas pris la peine de confectionner de fausses cartes de visite ne saurait en outre le disculper. En effet, au moment de leur rencontre, l'appelant a d'emblée proposé à sa victime une aide semblant de prime abord désintéressée. Le fait qu'il ait usé d'un simple bout de papier pour y inscrire ses coordonnées n'était ainsi pas de nature à faire naître chez elle un quelconque soupçon, étant précisé qu'un oubli de carte était en outre tout à fait envisageable. L'usage de mensonges se recoupant de manière subtile ajouté aux démarches par lui effectivement entreprises ont permis à l'appelant d'affermir ses allégations spécieuses et de leur conférer, du point de vue de la victime, une sérieuse valeur probante. Prétextant nécessiter des fonds pour activer sa fondation, l'appelant est ainsi parvenu à se faire remettre la somme de CHF 1'000.-, laquelle était de nature à paraître symbolique en comparaison de celle pharamineuse requise pour l'hospitalisation du mari de la plaignante à la clinique spécialisée de K______, dont l'appelant avait garanti l'entière prise en charge. L______ était pour sa part baigné des paroles de son épouse, par le biais de laquelle une relation de confiance s'était instaurée avec l'appelant. Ce dernier a pris soin de nourrir l'image bienveillante qu'il renvoyait au plaignant en lui rendant visite à plusieurs reprises et n'a pas manqué de faire référence à différents médecins dont celui-ci connaissait les noms, de manière à le conforter dans son erreur. Bien que pleinement conscient du fait que sa victime nécessitait urgemment des soins et qu'elle était dans l'incapacité de se mouvoir, l'appelant n'a pas hésité à exploiter sa situation de faiblesse. Prétextant nécessiter la somme de CHF 1'000.- afin de permettre le transfert en hélicoptère tant convoité par le plaignant, l'appelant est ainsi parvenu à se voir remettre la carte bancaire et le code PIN de celui-ci en vue d'effectuer le prélèvement. C'est finalement à ses propres besoins que l'appelant a affecté le montant indûment perçu, sachant d'emblée ledit transfert inexistant. Par conséquent, la condamnation de l'appelant du chef d'escroquerie sera confirmée. En première instance, A______ a été reconnu coupable d'utilisation frauduleuse d'un ordinateur pour les retraits d'argent effectués ultérieurement à l'insu de L______.</w:t>
      </w:r>
    </w:p>
    <w:p>
      <w:r>
        <w:t>- 13/20 - P/14844/2011 Cette requalification, d'ailleurs requise par l'appelant, n'ayant pas été contestée dans le cadre de l'appel, il convient de confirmer la décision du premier juge sur ce point. 2.2.1 L'art. 149 CP réprime, sur plainte, le comportement de celui qui se sera fait héberger, servir des aliments ou des boissons ou qui aura obtenu d'autres prestations d'un établissement de l'hôtellerie ou de la restauration et qui aura frustré l'établissement du montant à payer. Le Tribunal fédéral a jugé que celui qui avait procédé à des réservations de chambres d’hôtel pour diverses personnes, indiqué que ces dernières étaient ses hôtes et payé un acompte, s’était rendu coupable de filouterie d’auberge, dès lors que par son comportement il n'incitait pas à penser qu'il était incapable de payer ou refuserait de le faire, comme il s'y était engagé (arrêt du Tribunal fédéral 6S.86/2001 du 10 avril 2001 consid. 3). Ce qui était déterminant, c’était le fait que l’auteur s'était engagé contractuellement envers l'établissement (arrêt 6B_852/2009 du 17 décembre 2009 consid. 2.2). 2.2.2 En l'espèce, il ressort des pièces du dossier que la réservation a été effectuée en ligne au nom de C______, avec la carte de crédit de l’appelant. Il est en outre avéré que l'appelant s'est limité à conduire C______ à O______ et à venir la chercher à l'issue du week-end, de sorte qu'il n'a aucunement bénéficié des prestations offertes par l'hôtel N______. Il ne ressort pas non plus des déclarations d’D______ que l’appelant aurait indiqué à l’établissement que C______ était son hôte ni qu’il s’était engagé à payer le séjour. L’hôtel a d’ailleurs établi la facture y relative au nom de C______ et a envoyé une sommation à cette dernière. Il n’est pas non plus établi que l’appelant savait, dès l’arrivée de C______ à l’hôtel, que cette dernière n’était pas en mesure de payer le séjour, les explications des deux parties à ce sujet étant contradictoires. Il existe ainsi un doute quant à la réalisation des conditions de l’infraction de filouterie d’auberge qui doit profiter à l’accusé. Il convient par conséquent de confirmer la décision du premier juge dans la mesure où elle acquitte l'appelant de ce chef d'accusation. 2.3.1 A teneur de l'art. 177 al. 1 CP, se rend coupable d'injure celui qui aura, par la parole, l'écriture, l'image, le geste ou par des voies de fait, attaqué autrui dans son honneur. Cette disposition protège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132 IV 112 consid. 2.1 p. 115 ; 128 IV 53 consid. 1a p. 58). Pour apprécier si une</w:t>
      </w:r>
    </w:p>
    <w:p>
      <w:r>
        <w:t>- 14/20 - P/14844/2011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p. 312 ; 128 IV 53 consid. 1a p. 58 ; 119 IV 44 consid. 2a p. 47). Déterminer le contenu d'un message relève des constatations de fait. Le sens qu'un destinataire non prévenu confère aux expressions et images utilisées constitue en revanche une question de droit (ATF 137 IV 313 consid. 2.1.3 p. 316 ; 133 IV 308 consid. 8.5.1 p. 312 ; 131 IV 23 consid. 2.1 p. 26). L'injure peut prendre la forme d'un jugement de valeur offensant, mettant en doute l'honnêteté, la loyauté ou la moralité d'une personne de manière à la rendre méprisable en tant qu'être humain (B. CORBOZ, Les infractions en droit suisse, vol. I, 3e éd., Berne 2010, nos 10 et 11 ad. art. 177 CP), ou celle d'une injure formelle, en tant qu'expression de mépris vis-à-vis d'autrui (CORBOZ, op. cit., no 14 ad art. 177 CP). La marque de mépris doit revêtir une certaine gravité, excédant ce qui est acceptable (CORBOZ, op. cit., no 18 ad art. 177 CP ; arrêt du Tribunal fédéral 6B_333/2008 du 9 mars 2009 consid. 1.3). Il ne suffit pas qu'elle abaisse son destinataire dans la bonne opinion qu'il a de lui-même ou dans les qualités qu'il croit avoir.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no 20 ad art. 177 CP). L'injure étant une infraction intentionnelle, l'auteur doit vouloir ou à tout le moins accepter que son message soit attentatoire à l'honneur et soit communiqué à la victime ou à un tiers (ATF 117 IV 270 consid. 2b p. 272). 2.3.2 En l'espèce, l'appelant ne nie pas avoir traité C______ de "conne". Les parties ne parviennent en revanche pas à s'entendre sur le contexte dans lequel ce mot a été prononcé. Alors que l'appelant soutient qu'il souhaitait, en s'exprimant ainsi, souligner l'absurdité du comportement de la plaignante, qui s'apprêtait à retourner chez son ancien compagnon pour des motifs qu'il considérait futiles, cette dernière affirme dans un premier temps que c'est uniquement après qu'elle lui ait exprimé sa volonté de se rendre à la banque, dans une réaction d'énervement, que l'appelant s'est adressé à elle en ces termes, avant d'admettre partiellement, devant le premier juge, la version de l'appelant, arguant que ce dernier l'a en réalité insultée à deux reprises, soit dans les deux complexes de faits susmentionnés. Cette question peut toutefois rester ouverte. En effet, dans l'une comme dans l'autre hypothèse, cette apostrophe n'était pas susceptible, dans les circonstances d'espèce, de mettre en doute l'honnêteté, la loyauté ou la moralité de la plaignante, laquelle n'apparaît d'ailleurs pas l'avoir perçue comme une grave atteinte à sa dignité. Ce</w:t>
      </w:r>
    </w:p>
    <w:p>
      <w:r>
        <w:t>- 15/20 - P/14844/2011 message ne constituait en outre pas davantage une marque de mépris d'une telle gravité qu'elle soit propre à atteindre celle-ci dans son honneur. En tout état, l'élément subjectif fait défaut en l'espèce, la volonté de l'appelant ne portant vraisemblablement pas sur une telle atteinte à l'honneur. L'acquittement dont l'appelant a bénéficié en première instance doit donc être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3.1.2 A teneur de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w:t>
      </w:r>
    </w:p>
    <w:p>
      <w:r>
        <w:t>- 16/20 - P/14844/2011 amende au moins, il ne peut y avoir de sursis à l'exécution de la peine qu'en cas de circonstances particulièrement favorables (al. 2).</w:t>
      </w:r>
    </w:p>
    <w:p>
      <w:r>
        <w:t>3.1.3 D'après l'art. 49 al. 1 CP, si, en raison d'un ou de plusieurs actes, l'auteur remplit les conditions de plusieurs peines de même genre, le juge le condamne à la peine de l'infraction la plus grave et l'augmente dans une juste proportion.</w:t>
      </w:r>
    </w:p>
    <w:p>
      <w:r>
        <w:t>3.1.4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t>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w:t>
      </w:r>
    </w:p>
    <w:p>
      <w:r>
        <w:rPr>
          <w:b/>
        </w:rPr>
        <w:t>E. 3.2</w:t>
      </w:r>
    </w:p>
    <w:p>
      <w:r>
        <w:t>En l'espèce, la faute de l'appelant n'est pas anodine. Sa propension à s'attaquer à des personnes fragiles et en détresse démontre qu'il fait preuve d'un défaut d'empathie et d'une absence particulière de scrupules.</w:t>
      </w:r>
    </w:p>
    <w:p>
      <w:r>
        <w:t>Son mobile est égoïste. Il a agi par pur appât du gain dans le but de s'enrichir facilement et rapidement, sans considération pour le patrimoine d'autrui.</w:t>
      </w:r>
    </w:p>
    <w:p>
      <w:r>
        <w:t>Bien loin de l'excuser, le fait qu'il ait restitué à ses victimes, par le biais de prêts ou de présents, une partie des gains qu'il a indûment perçus ou encore qu'il ait accompli certaines tâches en leur faveur témoigne d'un mode opératoire odieux. En effet, son comportement bienveillant à l'égard de ses proies était partie intégrante d'une stratégie bien rôdée visant l'établissement d'une relation de confiance, ultérieurement exploitée aux fins de servir ses intérêts.</w:t>
      </w:r>
    </w:p>
    <w:p>
      <w:r>
        <w:t>Il y a concours d'infractions au sens de l'art. 49 al. 1 CP, ce qui justifie une augmentation de la peine dans une juste proportion.</w:t>
      </w:r>
    </w:p>
    <w:p>
      <w:r>
        <w:t>La collaboration de l'appelant a été bonne, dans la mesure où il a reconnu les faits qui lui étaient reprochés dès les prémisses de la procédure. Il n'a notamment pas hésité à décrire précisément ses agissements, fournissant ainsi des détails précieux pour l'établissement des faits.</w:t>
      </w:r>
    </w:p>
    <w:p>
      <w:r>
        <w:t>- 17/20 - P/14844/2011</w:t>
      </w:r>
    </w:p>
    <w:p>
      <w:r>
        <w:t>Hormis le trouble de valorisation personnelle dont il se dit victime, rien dans la situation personnelle de l'appelant ne semble susceptible d'apporter la justification de ses agissements.</w:t>
      </w:r>
    </w:p>
    <w:p>
      <w:r>
        <w:t>Les antécédents judiciaires de l'appelant sont très nombreux et spécifiques, ce qui démontre qu'il est insensible aux décisions de justice, lesquelles ne sont pas de nature à le dissuader de récidiver.</w:t>
      </w:r>
    </w:p>
    <w:p>
      <w:r>
        <w:t>Bien qu'il affirme regretter son comportement, sa prise de conscience reste pour le moins incertaine.</w:t>
      </w:r>
    </w:p>
    <w:p>
      <w:r>
        <w:t>Compte tenu des éléments qui précèdent, on ne saurait considérer qu'il existe, en l'occurrence, des circonstances particulièrement favorables au sens de l'art. 42 al. 2 CP, pouvant justifier l'octroi du sursis nonobstant l'ampleur des antécédents figurant au casier judiciaire de l'appelant. Bien au contraire, son pronostic d'avenir doit être considéré comme concrètement défavorable, de sorte que seule une peine ferme est envisageable.</w:t>
      </w:r>
    </w:p>
    <w:p>
      <w:r>
        <w:t>S’agissant d’un cas de concours rétrospectif au sens de l’art. 49 al. 2 CP, il convient de fixer une peine complémentaire à celle de 22 mois prononcée par le Tribunal de police le 18 septembre 2014. Au vu de l’ensemble de ces éléments, il convient de réduire dans une juste mesure la peine prononcée par le Tribunal de police, afin de tenir compte du concours rétrospectif, et de l’arrêter à 14 mois. Le jugement attaqué sera réformé sur ce point.</w:t>
      </w:r>
    </w:p>
    <w:p>
      <w:r>
        <w:rPr>
          <w:b/>
        </w:rPr>
        <w:t>E. 4</w:t>
      </w:r>
    </w:p>
    <w:p>
      <w:r>
        <w:t>Les conditions du sursis n'étant pas réalisées, il n'y a pas de place pour le prononcé d'une règle de conduite ou d'une assistance de probation (art. 44 al. 2 CP).</w:t>
      </w:r>
    </w:p>
    <w:p>
      <w:r>
        <w:rPr>
          <w:b/>
        </w:rPr>
        <w:t>E. 5</w:t>
      </w:r>
    </w:p>
    <w:p>
      <w:r>
        <w:t>C______ a intégralement succombé en première instance, le prévenu ayant été acquitté des infractions la concernant, et n’a pas contesté ce jugement en appel, dont elle a demandé la confirmation. Partant, elle n’a pas droit à une indemnité pour ses frais de défense en appel (art. 433 et 436 CPP).</w:t>
      </w:r>
    </w:p>
    <w:p>
      <w:r>
        <w:rPr>
          <w:b/>
        </w:rPr>
        <w:t>E. 6</w:t>
      </w:r>
    </w:p>
    <w:p>
      <w:r>
        <w:t>L'appelant principal, qui succombe pour l'essentiel, supportera la moitié des frais de la procédure d'appel, qui comprennent en totalité un émolument de jugement de CHF 3'000.- (art. 428 al. 1 CPP et 14 al. 1 let. e du Règlement fixant le tarif des frais en matière pénale du 22 décembre 2010 [RTFMP ; RS/GE E 4 10.03]).</w:t>
      </w:r>
    </w:p>
    <w:p>
      <w:r>
        <w:t>La part restante sera laissée à la charge de l'Etat. * * * * *</w:t>
      </w:r>
    </w:p>
    <w:p>
      <w:r>
        <w:t>- 18/20 - P/14844/2011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