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AARP/56/2026 vom 3. Februar 2026</w:t>
      </w:r>
    </w:p>
    <w:p>
      <w:r>
        <w:t>GE Cour de justice, 2026-02-03, FR</w:t>
      </w:r>
    </w:p>
    <w:p>
      <w:r>
        <w:rPr>
          <w:b/>
        </w:rPr>
        <w:t xml:space="preserve">Quelle: </w:t>
      </w:r>
      <w:r>
        <w:t>https://mcp.opencaselaw.ch/entscheid/ge_gerichte_AARP_56_2026</w:t>
      </w:r>
    </w:p>
    <w:p>
      <w:r>
        <w:t>FR: GE_GERICHTE AARP/56/2026 du 3 février 2026</w:t>
      </w:r>
    </w:p>
    <w:p>
      <w:r>
        <w:t>IT: GE_GERICHTE AARP/56/2026 del 3 febbraio 2026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w:t>
      </w:r>
    </w:p>
    <w:p>
      <w:r>
        <w:t>- 10/20 - P/21022/2023 possibles, une certitude absolue ne pouvant être exigée. Il doit s'agir de doutes sérieux et irréductibles, c'est-à-dire de doutes qui s'imposent à l'esprit en fonction de la situation objective (ATF 144 IV 345 consid. 2.2.3.3).</w:t>
      </w:r>
    </w:p>
    <w:p>
      <w:r>
        <w:rPr>
          <w:b/>
        </w:rPr>
        <w:t>E. 2.2</w:t>
      </w:r>
    </w:p>
    <w:p>
      <w:r>
        <w:t>L'art. 139 ch. 1 CP punit quiconque, pour se procurer ou procurer à un tiers un enrichissement illégitime, soustrait une chose mobilière appartenant à autrui dans le but de se l'approprier. L'auteur agit par métier (art. 139 ch. 2 de l'ancien Code pénal dans sa teneur au moment des faits [aCP])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L'aggravation du vol par métier n'exige ni chiffre d'affaires ni gain importants (arrêt du Tribunal fédéral 6B_463/2023 du 14 février 2024 consid. 4.1). Pour réaliser la circonstance aggravante du métier, tout avantage patrimonial suffit. Peu importe que l'auteur se le procure pour pouvoir vivre, pour s'offrir des plaisirs, pour l'investir ou le thésauriser ; les motifs qui poussent l'auteur à agir importent peu (ATF 110 IV 30 consid. 2). C'est notamment l'inclination de l'auteur à agir à chaque fois que se présente une occasion qui justifie la peine aggravée (arrêt du Tribunal fédéral 6B_1153/2014 du 16 mars 2015 consid. 1.1). Une moyenne d'environ un vol tous les quatre mois ne suffit pas encore à établir le métier, de même que des délits relativement espacés dans le temps, parfois de plusieurs mois (arrêt du Tribunal fédéral 6B_180/2013 du 2 mai 2013 consid. 2.3). Il n'est pas possible de chiffrer précisément le nombre d'infractions requises. Il faudra plutôt tenir compte de leur durée et du montant qui en a été retiré. Ainsi, cinq vols commis en une semaine générant un butin total de CHF 2'000.- peut suffire, alors que le même nombre d'infractions en une année ne suffit pas. Il convient d'examiner au cas par cas si la fréquence des infractions permet de conclure que l'auteur exerce une activité délictueuse par métier (M. NIGGLI / H. WIPRÄCHTIGER, Basler Kommentar Strafrecht II : Art. 137-392 StGB, Jugendstrafgesetz, 4ème éd., Bâle 2019, N 97 ad art. 139 CP). Le métier constitue une circonstance personnelle au sens de l'art. 27 CP (ATF 105 IV 182 consid. 2.a ; arrêt du Tribunal fédéral 6B_207/2013 du 10 septembre 2013</w:t>
      </w:r>
    </w:p>
    <w:p>
      <w:r>
        <w:t>- 11/20 - P/21022/2023 consid. 1.3.2). Cette disposition a pour objectif d'assurer à chaque participant, principal ou accessoire, une sanction conforme à leur propre faute, indépendamment de celle des autres participants à une même infraction (A. MACALUSO / L. MOREILLON / N. QUELOZ, Commentaire romand Code pénal II, 2e éd., 2025, n. 62 ad art. 139 CP).</w:t>
      </w:r>
    </w:p>
    <w:p>
      <w:r>
        <w:rPr>
          <w:b/>
        </w:rPr>
        <w:t>E. 2.3</w:t>
      </w:r>
    </w:p>
    <w:p>
      <w:r>
        <w:t>En l'espèce, il ressort du dossier que l'appelante s'est livrée, sur une longue période continue de 19 mois, à des vols répétés de colis sur son lieu de travail, selon une méthode ciblée et structurée. Les faits ne constituent ni des actes isolés ni des opportunités ponctuelles, mais s'inscrivent dans une activité durable, qui a débuté de manière sporadique dès juillet 2021 et s'est intensifiée progressivement jusqu'à atteindre, dans les mois précédant son arrestation, un rythme frénétique de plusieurs colis dérobés par matinée de travail. L'ampleur et la répétition quasi mécanique de son activité délictuelle se vérifient notamment par les messages téléphoniques éloquents échangés entre l'appelante et sa compagne, entre le 5 janvier 2022 et le 5 février 2023. L'appelante a reconnu avoir dérobé de manière régulière des colis contenant principalement du matériel électronique, exploitant l'accès privilégié que lui conférait sa fonction. Elle a reconnu avoir remis ces objets à sa compagne sur une période d'environ une année, tout en minimisant, dans un premier temps, l'ampleur de ses larcins, avant d'admettre avoir volé au minimum pour une valeur de CHF 80'000.-. La durée de son activité répréhensible, combinée à la répétition et à la régularité de ses actes, révèlent une installation durable dans la délinquance, caractéristique d'une activité exercée à la manière d'une profession. Tant la diversité que la précision des biens dérobés démontrent une maîtrise des flux [de] C______ et une détermination révélatrice d'un certain professionnalisme et d'un mode opératoire bien rodé, intégrés au fonctionnement quotidien de l'appelante. En agissant ainsi, celle-ci a manifesté sa volonté durable d'abuser de la confiance qui lui avait été accordée par son employeur et à porter atteinte aux intérêts pécuniaires de celui-ci. Elle a agi de manière intentionnelle. Contrairement à ce qu'elle soutient, les termes affectifs employés dans les messages échangés avec sa compagne ("mi vida", "mi amor") relèvent de formules aimantes habituelles et ne traduisent absolument pas un quelconque rapport de domination exercé à son préjudice par F______. Aucune prétendue emprise, qui semble avoir été évoquée pour les besoins de la cause, n'est corroborée par les éléments objectifs du dossier et ne laisserait entrevoir une absence de conscience et/ou de volonté de l'appelante. Il est établi que l'appelante s'attelait activement à la soustraction de matériel électronique et à l'organisation de l'écoulement des biens, dont une partie avait été vendue avec son accord. Les échanges de messages démontrent, de manière éloquente et univoque, que l’appelante participait à la fixation des prix, donnait des instructions sur les objets à vendre ou à remettre, et réclamait une part du produit des ventes pour ses besoins et</w:t>
      </w:r>
    </w:p>
    <w:p>
      <w:r>
        <w:t>- 12/20 - P/21022/2023 achats personnels, actes constitutifs d’un enrichissement illégitime. Par ailleurs, même lorsque les objets étaient remis à sa compagne, les vols poursuivaient un but économique, procurant à celle-ci un avantage patrimonial illicite. Cette remise permettait de soutenir financièrement sa compagne et les proches de celle-ci, sans affecter ses propres revenus licites, ni sa capacité d'épargne mensuelle de CHF 500.- à CHF 1'600.-. Ces valeurs et l'économie qui en découle constituent manifestement un enrichissement illégitime au sens de l'art. 139 CP, tant pour l'appelante que pour sa compagne (un tiers). À l'inverse de ce que plaide l'appelante, la circonstance aggravante du métier n'exige pas que l'auteur se soit enrichi directement ou exclusivement à titre personnel, étant rappelé que l'infraction est également réalisée lorsque l'enrichissement profite à un tiers (art. 139 ch. 1 ab initio CP). En agissant ainsi, l'appelante s'est procuré pour elle- même et pour sa compagne un apport notable et régulier au financement de leur genre de vie, en jouissant de matériels électroniques de pointe neufs, dont certains ont été vendus, leur permettant d'augmenter – sur une certaine durée – leur capacité financière, d'améliorer leur train de vie et de s'offrir des objets convoités ou procéder aux paiements/financements souhaités, tels qu'il ressort des messages téléphoniques. La structuration, la fréquence et la répétition des vols caractérisent pleinement l'aggravante du métier, eu égard aux revenus générés par cette activité délictuelle, pour laquelle l'appelante a consacré du temps au quotidien, à la façon d'une profession, même accessoire. Dans ces conditions, c'est à juste titre que l'autorité précédente a retenu que l'appelante avait commis les infractions reprochées par métier, au sens de l'art. 139 ch. 2 aCP. L'appel sera dès lors rejeté et le jugement entrepris confirmé sur ce point.</w:t>
      </w:r>
    </w:p>
    <w:p>
      <w:r>
        <w:rPr>
          <w:b/>
        </w:rPr>
        <w:t>E. 3.1</w:t>
      </w:r>
    </w:p>
    <w:p>
      <w:r>
        <w:t>Le vol par métier (art. 139 ch. 2 aCP) est puni d'une peine privative de liberté de dix ans au plus ou d'une peine pécuniaire de 90 jours-amende au moins.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w:t>
      </w:r>
    </w:p>
    <w:p>
      <w:r>
        <w:t>- 13/20 - P/21022/2023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I consid. 4.2.1). Le juge dispose d'un large pouvoir d'appréciation dans l'émission du pronostic (arrêt du Tribunal fédéral 6B_978/2017 du</w:t>
      </w:r>
    </w:p>
    <w:p>
      <w:r>
        <w:rPr>
          <w:b/>
        </w:rPr>
        <w:t>E. 3.4</w:t>
      </w:r>
    </w:p>
    <w:p>
      <w:r>
        <w:t>Selon l'art. 44 CP, si le juge suspend totalement ou partiellement l'exécution d'une peine, il impartit au condamné un délai d'épreuve de deux à cinq ans (al. 1). Le juge explique au condamné la portée et les conséquences du sursis ou du sursis partiel à l'exécution de la peine (al. 3).</w:t>
      </w:r>
    </w:p>
    <w:p>
      <w:r>
        <w:rPr>
          <w:b/>
        </w:rPr>
        <w:t>E. 3.5</w:t>
      </w:r>
    </w:p>
    <w:p>
      <w:r>
        <w:t>En l'espèce, la faute de l'appelante est significative. Elle a porté atteinte au patrimoine de son employeur dans le cadre d'une relation de confiance, en commettant de nombreux vols sur une longue période continue de 19 mois, pour un préjudice de CHF 274'981.62. Elle agissait dans le cadre de ses fonctions et avait pleinement conscience du caractère illicite de ses actes, qu'elle aurait pu interrompre à tout moment. Ce n'est que le dépôt d'une plainte pénale et l'intervention de la police qui ont mis fin à son comportement délictueux. Les motivations de l'appelante relèvent de mobiles égoïstes, que ce soit l'appât du gain ou un besoin de reconnaissance personnelle. Contrairement à ce qu'elle soutient, le dossier ne met pas en évidence des pressions ou une emprise ayant pu altérer son jugement. Il apparaît au contraire qu'elle a multiplié, de sa propre initiative, les cadeaux à son entourage et décidé du montant à répartir du produit des ventes litigieuses. Les</w:t>
      </w:r>
    </w:p>
    <w:p>
      <w:r>
        <w:t>- 14/20 - P/21022/2023 échanges avec sa compagne montrent une relation structurée autour d'un cadre commercial clair, où chacune savait le rôle qu'elle avait à jouer. Sa compagne était chargée de la vente des téléphones, tandis que l'appelante poursuivait ses actes de soustraction de manière volontaire et aguerrie. Celle-ci organisait de manière affirmée et directive la vente des objets volés, en fixant les prix et les limites précises ("aucun téléphone va être offert, et bradé non plus"), tout en intégrant sa compagne dans la démarche commerciale ("nous vendons"). Ce comportement démontre qu'elle conservait la maîtrise effective sur les biens dérobés et pouvait mettre un terme à ses actes à tout moment. La collaboration de l'appelante au cours de la procédure a été correcte. Après une phase initiale de minimisation, elle a partiellement reconnu la régularité de ses agissements et admis avoir fait une "grosse bêtise", sans toutefois entreprendre de réparation concrète ni reconnaître pleinement l'ampleur du dommage. Il est regrettable qu'elle tente, pour la première fois au stade de l'appel, d'invoquer un rapport de domination et d'emprise de la part de sa compagne. Cet argument tardif apparaît peu crédible et résonne davantage comme une ultime tentative de justification des actes commis, voire de réduire sa responsabilité. La situation personnelle de l'appelante, marquée par une certaine solitude affective, n'explique ni ne justifie son comportement. Elle disposait à l'époque des faits d'une situation financière et professionnelle stable. L'absence d'antécédent a au surplus un effet neutre sur la fixation de la peine. Compte tenu de la gravité des faits et de leurs conséquences, seule une peine privative de liberté se justifie, notamment pour des motifs de prévention spéciale. La peine d'une année prononcée par le premier juge apparaît juste et équitable. Elle sera confirmée. Le sursis, dont la durée du délai d'épreuve de trois ans est adéquate au vu de l'infraction réalisée, est acquis à l'appelante (art. 391 al. 2 CPP). Partant, l'appel sera rejeté et le jugement entrepris confirmé. 4. 4.1.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4.2. En vertu de l'art. 41 al. 1 CO, celui qui cause, d'une manière illicite, un dommage à autrui, soit intentionnellement, soit par négligence ou imprudence, est tenu de le réparer. La responsabilité délictuelle suppose que soient réalisées cumulativement les quatre conditions suivantes : un acte illicite, une faute de l'auteur, un dommage et un rapport</w:t>
      </w:r>
    </w:p>
    <w:p>
      <w:r>
        <w:t>- 15/20 - P/21022/2023 de causalité (naturelle et adéquate) entre l'acte fautif et le dommage (ATF 132 III 122 consid. 4.1). La preuve du dommage incombe au demandeur (art. 42 al. 1 CO). Lorsque le montant exact du dommage ne peut être établi, le juge le détermine équitablement en considération du cours ordinaire des choses et des mesures prises par la partie lésée (art. 42 al. 2 CO ; ATF 142 IV 237 consid. 1.3.1). Cet allègement du fardeau de la preuve doit être appliqué de manière restrictive et ne s'applique que si le préjudice est difficile, voire impossible, à établir, si certaines preuves font défaut ou si leur production ne peut raisonnablement être exigée du lésé (ATF 144 III 155 consid. 2.3 ; arrêt du Tribunal fédéral 6B_807/2021 consid. 11.3.2 ; 4A_431/2015 consid. 5.1.2 ; 4A_396/2015 consid. 6.1). L'art. 42 al. 2 CO s'applique aussi bien à la preuve de l'existence du dommage qu'à celle de son étendue. Il ne dispense toutefois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(ATF 142 IV 237 consid. 1.3.1 ; arrêts du Tribunal fédéral 6B_909/2015 du 22 juin 2016 consid. 1.1 ; 6B_928/2014 précité consid. 4.1.2 non reproduit in ATF 142 IV 163). 4.3. En l'espèce, l'intimée a établi des listes détaillées recensant l'ensemble des colis et chèques E______ soustraits, avec indication du numéro d'envoi, du contenu et de la valeur déclarée par les clients. Bien que ces documents soient de nature interne, ils ne peuvent raisonnablement s'expliquer qu'à la suite de signalements concrets de perte ou de non-réception formulés par des expéditeurs ou des destinataires. En effet, l'identification précise des envois, de leur contenu et de leur valeur suppose nécessairement l'existence préalable de réclamations, lesquelles constituent déjà un indice sérieux d'un préjudice subi. Les exemples de demandes de recherche et d'indemnisation produits en appel confirment d'ailleurs que, dans ces cas spécifiques, les clients ont indiqué le contenu et la valeur des envois concernés, éléments qui correspondent aux données figurant dans les listes litigieuses. L'appelante reconnaît avoir commis des vols pour un montant d'au moins CHF 80'000.- et plusieurs objets ont été retrouvés à son domicile et à celui de son frère, lors des perquisitions. Compte tenu de la fréquence et de la régularité des soustractions, ainsi que de la valeur des marchandises concernées, il apparaît peu crédible que le préjudice se limite au seul montant admis. L'appelante ne conteste ni le nombre total de colis recensés, ni la concordance de ceux-ci avec les listes établies par l'intimée. Il ressort en outre du dossier que les vols cessaient durant ses périodes d'absence et reprenaient lorsqu'elle exerçait à nouveau son activité, circonstance qu'elle ne remet pas en cause et qui renforce encore le lien entre les soustractions constatées et son comportement répréhensible.</w:t>
      </w:r>
    </w:p>
    <w:p>
      <w:r>
        <w:t>- 16/20 - P/21022/2023 Les griefs soulevés par l'appelante, tirés notamment de l'absence de justificatifs individuels de paiement, de la confusion alléguée entre C______ SA et C______/T______ SA, du fondement juridique des indemnités, du mode de calcul de celles-ci, de l'identité des bénéficiaires ou encore du sort des marchandises retrouvées, ne suffisent pas à remettre en cause l'existence même du préjudice. Pris dans leur ensemble, les éléments produits – listes détaillées, exemples de réclamations, admissions partielles de l'appelante et constatations issues de l'instruction – permettent de retenir l'existence d'un dommage réel, directement lié aux actes fautifs reprochés, et dont l'évaluation peut être effectuée de manière raisonnable sur la base des données disponibles. Il s'ensuit que l'intimée a subi un préjudice patrimonial certain, dont l'ampleur ne saurait être niée au seul motif que chaque envoi n'est pas étayé par une preuve de paiement individualisée. Au regard de l'ensemble des circonstances, il y a lieu d'admettre les conclusions civiles de l'intimée. Partant, l'appel doit être rejeté et le jugement entrepris confirmé sur ce point. 5. Dans la mesure où l'intimée n'a pas formé appel contre le jugement entrepris, il ne sera pas entré en matière sur ses prétentions relatives à la restitution des objets volés. 6. L'appelante, qui succombe, supportera les frais de la procédure d'appel envers l'État (art. 428 CPP). Le verdict de culpabilité étant confirmé, il n'y a pas lieu de modifier la répartition des frais de la procédure préliminaire et de première instance. 7. 7.1. Selon l'art. 135 CPP, le défenseur d'office est indemnisé conformément au tarif des avocats de la Confédération ou du canton du for du procès. S'agissant d'une affaire soumise à la juridiction cantonale genevoise, l'art. 16 du règlement sur l'assistance juridique (RAJ) s'applique. L'art. 16 al. 1 let. b RAJ prescrit que l'indemnité, en matière pénale, est calculée selon le tarif horaire de CHF 200.- pour le chef d'étude, débours de l'étude inclus. Seules les heures nécessaires sont retenues. Elles sont appréciées en fonction notamment de la nature, de l'importance, et des difficultés de la cause, de la valeur litigieuse, de la qualité du travail fourni et du résultat obtenu (art. 16 al. 2 RAJ).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 BB.2015.85 du 12 avril 2016 consid. 3.5.2 et 3.5.3). Des exceptions</w:t>
      </w:r>
    </w:p>
    <w:p>
      <w:r>
        <w:t>- 17/20 - P/21022/2023 demeurent possibles, charge à l'avocat de justifier l'ampleur d'opérations dont la couverture ne serait pas assurée par le forfait.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7.2. En l'espèce, l'état de frais produit appelle certains ajustements. Il y a lieu d'exclure le temps consacré à la rédaction de la déclaration d'appel, aux recherches juridiques et à la lecture de la décision attaquée, ces prestations étant comprises dans le forfait courriers/téléphone. Par ailleurs, le temps consacré à la rédaction du mémoire d'appel et à la réplique apparaît manifestement excessif, dès lors que le dossier était déjà connu et ne présentait pas de complexité juridique particulière. La durée afférente à ces actes sera par conséquent ramenée à 10 heures pour l'écriture d'appel et à 1 heure pour la réplique. Il en résulte une rémunération de CHF 2'583.35, correspondant à 12 heures et 55 minutes d'activité de chef d'étude. Le forfait courriers/téléphones de 10%, applicable aux procédures dont la durée excède 30 heures (81 heures et 55 minutes en première instance), est arrêtée à CHF 258.35. Augmentée de la TVA à 8.1% (CHF 230.15), la rémunération totale de Me B______ pour la procédure d'appel sera arrêtée à CHF 3'071.90. * * * * *</w:t>
      </w:r>
    </w:p>
    <w:p>
      <w:r>
        <w:t>- 18/20 - P/21022/2023</w:t>
      </w:r>
    </w:p>
    <w:p>
      <w:r>
        <w:rPr>
          <w:b/>
        </w:rPr>
        <w:t>E. 8</w:t>
      </w:r>
    </w:p>
    <w:p>
      <w:r>
        <w:t>mars 2018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